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6CE9DCE3" w:rsidR="00E203C2" w:rsidRDefault="00E203C2" w:rsidP="00E203C2">
      <w:r>
        <w:rPr>
          <w:noProof/>
          <w:lang w:eastAsia="en-GB" w:bidi="ar-SA"/>
        </w:rPr>
        <w:drawing>
          <wp:inline distT="0" distB="0" distL="0" distR="0" wp14:anchorId="53705D84" wp14:editId="62CBD98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5F55FFCA" w14:textId="5E4F31BD" w:rsidR="008625E2" w:rsidRPr="000F7930" w:rsidRDefault="000F7930" w:rsidP="008625E2">
      <w:pPr>
        <w:rPr>
          <w:b/>
          <w:sz w:val="28"/>
          <w:szCs w:val="28"/>
        </w:rPr>
      </w:pPr>
      <w:bookmarkStart w:id="0" w:name="_GoBack"/>
      <w:bookmarkEnd w:id="0"/>
      <w:r w:rsidRPr="000F7930">
        <w:rPr>
          <w:b/>
          <w:sz w:val="28"/>
          <w:szCs w:val="28"/>
        </w:rPr>
        <w:t>9 February 2021</w:t>
      </w:r>
      <w:r w:rsidRPr="000F7930">
        <w:rPr>
          <w:b/>
          <w:sz w:val="28"/>
          <w:szCs w:val="28"/>
        </w:rPr>
        <w:tab/>
      </w:r>
    </w:p>
    <w:p w14:paraId="0142C873" w14:textId="432C7E07" w:rsidR="008625E2" w:rsidRPr="000F7930" w:rsidRDefault="000F7930" w:rsidP="008625E2">
      <w:pPr>
        <w:rPr>
          <w:b/>
          <w:sz w:val="28"/>
          <w:szCs w:val="28"/>
        </w:rPr>
      </w:pPr>
      <w:r w:rsidRPr="000F7930">
        <w:rPr>
          <w:b/>
          <w:sz w:val="28"/>
          <w:szCs w:val="28"/>
        </w:rPr>
        <w:t>150-21</w:t>
      </w:r>
    </w:p>
    <w:p w14:paraId="5B92753D" w14:textId="77777777" w:rsidR="0057615C" w:rsidRPr="0057615C" w:rsidRDefault="0057615C" w:rsidP="00690206">
      <w:pPr>
        <w:pStyle w:val="FSTitle"/>
        <w:rPr>
          <w:b/>
          <w:sz w:val="22"/>
        </w:rPr>
      </w:pPr>
    </w:p>
    <w:p w14:paraId="1CA8799B" w14:textId="736F91B0" w:rsidR="00092CDA" w:rsidRPr="00327074" w:rsidRDefault="00092CDA" w:rsidP="00690206">
      <w:pPr>
        <w:pStyle w:val="FSTitle"/>
        <w:rPr>
          <w:b/>
        </w:rPr>
      </w:pPr>
      <w:r w:rsidRPr="00327074">
        <w:rPr>
          <w:b/>
        </w:rPr>
        <w:t>S</w:t>
      </w:r>
      <w:r w:rsidR="00B12F1E" w:rsidRPr="00327074">
        <w:rPr>
          <w:b/>
        </w:rPr>
        <w:t>upporting document</w:t>
      </w:r>
      <w:r w:rsidRPr="00327074">
        <w:rPr>
          <w:b/>
        </w:rPr>
        <w:t xml:space="preserve"> </w:t>
      </w:r>
      <w:r w:rsidR="00D95669" w:rsidRPr="00327074">
        <w:rPr>
          <w:b/>
        </w:rPr>
        <w:t>1</w:t>
      </w:r>
    </w:p>
    <w:p w14:paraId="064DFDFD" w14:textId="77777777" w:rsidR="00BA24E2" w:rsidRPr="00327074" w:rsidRDefault="00BA24E2" w:rsidP="00E203C2"/>
    <w:p w14:paraId="79157BBE" w14:textId="7CB8831C" w:rsidR="00D056F1" w:rsidRPr="00327074" w:rsidRDefault="00320839" w:rsidP="00690206">
      <w:pPr>
        <w:pStyle w:val="FSTitle"/>
      </w:pPr>
      <w:r w:rsidRPr="00327074">
        <w:t xml:space="preserve">Risk </w:t>
      </w:r>
      <w:r w:rsidR="00D95669" w:rsidRPr="00327074">
        <w:t xml:space="preserve">and technical </w:t>
      </w:r>
      <w:r w:rsidRPr="00327074">
        <w:t>assessment</w:t>
      </w:r>
      <w:r w:rsidR="006B5EBE" w:rsidRPr="00327074">
        <w:t xml:space="preserve"> – </w:t>
      </w:r>
      <w:r w:rsidR="00D056F1" w:rsidRPr="00327074">
        <w:t>A</w:t>
      </w:r>
      <w:r w:rsidR="00B12F1E" w:rsidRPr="00327074">
        <w:t>pplication</w:t>
      </w:r>
      <w:r w:rsidR="00D056F1" w:rsidRPr="00327074">
        <w:t xml:space="preserve"> A</w:t>
      </w:r>
      <w:r w:rsidR="00D95669" w:rsidRPr="00327074">
        <w:t>1191</w:t>
      </w:r>
    </w:p>
    <w:p w14:paraId="48392800" w14:textId="77777777" w:rsidR="00E203C2" w:rsidRPr="00327074" w:rsidRDefault="00E203C2" w:rsidP="00690206"/>
    <w:p w14:paraId="305FD14B" w14:textId="77777777" w:rsidR="00D95669" w:rsidRPr="00327074" w:rsidRDefault="00D95669" w:rsidP="00D95669">
      <w:pPr>
        <w:rPr>
          <w:rFonts w:cs="Tahoma"/>
          <w:bCs/>
          <w:sz w:val="32"/>
        </w:rPr>
      </w:pPr>
      <w:r w:rsidRPr="00327074">
        <w:rPr>
          <w:rFonts w:cs="Tahoma"/>
          <w:bCs/>
          <w:iCs/>
          <w:sz w:val="28"/>
          <w:szCs w:val="28"/>
          <w:lang w:val="en-AU"/>
        </w:rPr>
        <w:t>Mono- and diglycerides of fatty acids (INS 471) as glazing agent for fruits and vegetables</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1" w:name="_Toc286391001"/>
      <w:bookmarkStart w:id="2" w:name="_Toc300933414"/>
      <w:bookmarkStart w:id="3" w:name="_Toc453078193"/>
      <w:bookmarkStart w:id="4" w:name="_Toc42849586"/>
      <w:bookmarkStart w:id="5" w:name="_Toc46487116"/>
      <w:bookmarkStart w:id="6" w:name="_Toc58251541"/>
      <w:r w:rsidRPr="00092CDA">
        <w:t xml:space="preserve">Executive </w:t>
      </w:r>
      <w:r w:rsidR="00B12F1E">
        <w:t>s</w:t>
      </w:r>
      <w:r w:rsidRPr="00092CDA">
        <w:t>ummary</w:t>
      </w:r>
      <w:bookmarkEnd w:id="1"/>
      <w:bookmarkEnd w:id="2"/>
      <w:bookmarkEnd w:id="3"/>
      <w:bookmarkEnd w:id="4"/>
      <w:bookmarkEnd w:id="5"/>
      <w:bookmarkEnd w:id="6"/>
    </w:p>
    <w:p w14:paraId="5BBDB00F" w14:textId="2BA969CD" w:rsidR="0058203C" w:rsidRDefault="0058203C" w:rsidP="0058203C">
      <w:pPr>
        <w:rPr>
          <w:lang w:bidi="ar-SA"/>
        </w:rPr>
      </w:pPr>
      <w:r>
        <w:rPr>
          <w:lang w:bidi="ar-SA"/>
        </w:rPr>
        <w:t>FSANZ received an application from Apeel Sciences to extend the use of the currently permitted food additive used at Good Manufacturing Practice (GMP) mono- and diglycerides of fatty acids as a glazing</w:t>
      </w:r>
      <w:r w:rsidR="00A85B0B">
        <w:rPr>
          <w:lang w:bidi="ar-SA"/>
        </w:rPr>
        <w:t xml:space="preserve"> agent</w:t>
      </w:r>
      <w:r>
        <w:rPr>
          <w:lang w:bidi="ar-SA"/>
        </w:rPr>
        <w:t xml:space="preserve"> </w:t>
      </w:r>
      <w:r w:rsidR="00A85B0B">
        <w:rPr>
          <w:lang w:bidi="ar-SA"/>
        </w:rPr>
        <w:t>for fresh fruits and vegetables. The relevant f</w:t>
      </w:r>
      <w:r>
        <w:rPr>
          <w:lang w:bidi="ar-SA"/>
        </w:rPr>
        <w:t xml:space="preserve">ood </w:t>
      </w:r>
      <w:r w:rsidR="00A85B0B">
        <w:rPr>
          <w:lang w:bidi="ar-SA"/>
        </w:rPr>
        <w:t>c</w:t>
      </w:r>
      <w:r>
        <w:rPr>
          <w:lang w:bidi="ar-SA"/>
        </w:rPr>
        <w:t xml:space="preserve">lass </w:t>
      </w:r>
      <w:r w:rsidR="00A85B0B">
        <w:rPr>
          <w:lang w:bidi="ar-SA"/>
        </w:rPr>
        <w:t xml:space="preserve">is </w:t>
      </w:r>
      <w:r>
        <w:rPr>
          <w:lang w:bidi="ar-SA"/>
        </w:rPr>
        <w:t>4.1.2 (</w:t>
      </w:r>
      <w:r w:rsidR="00A85B0B">
        <w:rPr>
          <w:lang w:bidi="ar-SA"/>
        </w:rPr>
        <w:t>s</w:t>
      </w:r>
      <w:r>
        <w:rPr>
          <w:lang w:bidi="ar-SA"/>
        </w:rPr>
        <w:t>urface treated fruits and vegetables)</w:t>
      </w:r>
      <w:r w:rsidR="00A85B0B">
        <w:rPr>
          <w:lang w:bidi="ar-SA"/>
        </w:rPr>
        <w:t xml:space="preserve"> in the table to section S15—5 of the Australia New Zealand Food Standards Code (the Code)</w:t>
      </w:r>
      <w:r>
        <w:rPr>
          <w:lang w:bidi="ar-SA"/>
        </w:rPr>
        <w:t>.</w:t>
      </w:r>
      <w:r w:rsidR="00A85B0B">
        <w:rPr>
          <w:lang w:bidi="ar-SA"/>
        </w:rPr>
        <w:t xml:space="preserve"> </w:t>
      </w:r>
      <w:r>
        <w:rPr>
          <w:lang w:bidi="ar-SA"/>
        </w:rPr>
        <w:t xml:space="preserve">In the Code, mono- and diglycerides of fatty acids is a food additive able to be used at GMP since it is listed in the tables to section </w:t>
      </w:r>
      <w:r w:rsidR="00A85B0B">
        <w:rPr>
          <w:lang w:bidi="ar-SA"/>
        </w:rPr>
        <w:t>S</w:t>
      </w:r>
      <w:r>
        <w:rPr>
          <w:lang w:bidi="ar-SA"/>
        </w:rPr>
        <w:t>16</w:t>
      </w:r>
      <w:r w:rsidR="00A85B0B">
        <w:rPr>
          <w:lang w:bidi="ar-SA"/>
        </w:rPr>
        <w:t>—</w:t>
      </w:r>
      <w:r>
        <w:rPr>
          <w:lang w:bidi="ar-SA"/>
        </w:rPr>
        <w:t>2</w:t>
      </w:r>
      <w:r w:rsidR="00A85B0B">
        <w:rPr>
          <w:lang w:bidi="ar-SA"/>
        </w:rPr>
        <w:t xml:space="preserve"> but not for fresh fruit and vegetables</w:t>
      </w:r>
      <w:r>
        <w:rPr>
          <w:lang w:bidi="ar-SA"/>
        </w:rPr>
        <w:t>.</w:t>
      </w:r>
    </w:p>
    <w:p w14:paraId="668F5EA9" w14:textId="37931CD1" w:rsidR="00E32ACE" w:rsidRDefault="00E32ACE" w:rsidP="00690206">
      <w:pPr>
        <w:rPr>
          <w:lang w:bidi="ar-SA"/>
        </w:rPr>
      </w:pPr>
    </w:p>
    <w:p w14:paraId="21C55452" w14:textId="480E0BE0" w:rsidR="00E32ACE" w:rsidRDefault="00E32ACE" w:rsidP="00690206">
      <w:r>
        <w:t>An assessment of data provided by the applicant has concluded that the food additive mono- and diglycerides of fatty acids performs the technological purpose of a glazing agent to extend the shelf life of various treated fresh fruits and vegetables</w:t>
      </w:r>
      <w:r w:rsidR="001B3F6C">
        <w:t>. A comparison of results indicate mono- and diglycerides of fatty acids performs better than</w:t>
      </w:r>
      <w:r>
        <w:t xml:space="preserve"> untreated product, </w:t>
      </w:r>
      <w:r w:rsidR="001B3F6C">
        <w:t>and</w:t>
      </w:r>
      <w:r>
        <w:t xml:space="preserve"> conventional waxes and resins. As an already permitted GMP food additive</w:t>
      </w:r>
      <w:r w:rsidR="00271801">
        <w:t>,</w:t>
      </w:r>
      <w:r>
        <w:t xml:space="preserve"> it complies with internationally accepted specifications of identity and purity</w:t>
      </w:r>
      <w:r w:rsidR="00271801">
        <w:t>,</w:t>
      </w:r>
      <w:r>
        <w:t xml:space="preserve"> which are primary sources of specifications in Schedule 3.</w:t>
      </w:r>
    </w:p>
    <w:p w14:paraId="1DAAD4A3" w14:textId="5436630B" w:rsidR="0092434B" w:rsidRDefault="0092434B" w:rsidP="00690206"/>
    <w:p w14:paraId="6E4FF97C" w14:textId="09EC08C0" w:rsidR="00E03443" w:rsidRDefault="00E03443" w:rsidP="00E03443">
      <w:r>
        <w:rPr>
          <w:lang w:eastAsia="en-AU" w:bidi="ar-SA"/>
        </w:rPr>
        <w:t>FSANZ concurs with the conclusion of JECFA (1974 a,</w:t>
      </w:r>
      <w:r w:rsidR="00F87D15">
        <w:rPr>
          <w:lang w:eastAsia="en-AU" w:bidi="ar-SA"/>
        </w:rPr>
        <w:t xml:space="preserve"> </w:t>
      </w:r>
      <w:r>
        <w:rPr>
          <w:lang w:eastAsia="en-AU" w:bidi="ar-SA"/>
        </w:rPr>
        <w:t xml:space="preserve">b) that mono-and diglycerides, including those in INS 471, do not differ significantly from dietary lipids and a numerical ADI is not required. Estimated </w:t>
      </w:r>
      <w:r w:rsidR="002A10DD">
        <w:rPr>
          <w:lang w:eastAsia="en-AU" w:bidi="ar-SA"/>
        </w:rPr>
        <w:t xml:space="preserve">mean </w:t>
      </w:r>
      <w:r w:rsidR="004C2A53">
        <w:rPr>
          <w:lang w:eastAsia="en-AU" w:bidi="ar-SA"/>
        </w:rPr>
        <w:t xml:space="preserve">dietary </w:t>
      </w:r>
      <w:r>
        <w:rPr>
          <w:lang w:eastAsia="en-AU" w:bidi="ar-SA"/>
        </w:rPr>
        <w:t xml:space="preserve">exposure </w:t>
      </w:r>
      <w:r>
        <w:t xml:space="preserve">for Australian and New Zealand populations to </w:t>
      </w:r>
      <w:r w:rsidR="00C14D2A">
        <w:rPr>
          <w:lang w:bidi="ar-SA"/>
        </w:rPr>
        <w:t>mono- and diglyceride</w:t>
      </w:r>
      <w:r w:rsidR="0058203C">
        <w:rPr>
          <w:lang w:bidi="ar-SA"/>
        </w:rPr>
        <w:t>s of fatty acids</w:t>
      </w:r>
      <w:r>
        <w:t xml:space="preserve"> if used as a glazing agent on surface treated fruits and vegetables represents 0.6-0.8% of mean total </w:t>
      </w:r>
      <w:r>
        <w:lastRenderedPageBreak/>
        <w:t xml:space="preserve">fat </w:t>
      </w:r>
      <w:r w:rsidR="005879E0">
        <w:t>intake</w:t>
      </w:r>
      <w:r>
        <w:t>, which is within normal daily variation.</w:t>
      </w:r>
    </w:p>
    <w:p w14:paraId="3F1868DE" w14:textId="2C689C6E" w:rsidR="007326BD" w:rsidRDefault="007326BD" w:rsidP="00E03443">
      <w:pPr>
        <w:rPr>
          <w:lang w:eastAsia="en-AU" w:bidi="ar-SA"/>
        </w:rPr>
      </w:pPr>
    </w:p>
    <w:p w14:paraId="164463FF" w14:textId="1855DDF7" w:rsidR="001F4AC3" w:rsidRPr="00F06E43" w:rsidRDefault="006410FB" w:rsidP="001F4AC3">
      <w:r w:rsidRPr="00F06E43">
        <w:rPr>
          <w:lang w:eastAsia="en-AU"/>
        </w:rPr>
        <w:t>The assessment also considered</w:t>
      </w:r>
      <w:r w:rsidR="007326BD" w:rsidRPr="00F06E43">
        <w:rPr>
          <w:lang w:eastAsia="en-AU"/>
        </w:rPr>
        <w:t xml:space="preserve"> the potential </w:t>
      </w:r>
      <w:r w:rsidRPr="00F06E43">
        <w:rPr>
          <w:lang w:eastAsia="en-AU"/>
        </w:rPr>
        <w:t xml:space="preserve">for </w:t>
      </w:r>
      <w:r w:rsidR="007326BD" w:rsidRPr="00F06E43">
        <w:rPr>
          <w:lang w:eastAsia="en-AU"/>
        </w:rPr>
        <w:t>allergenicity due to the possible use of oils and fats derived from allergen</w:t>
      </w:r>
      <w:r w:rsidRPr="00F06E43">
        <w:rPr>
          <w:lang w:eastAsia="en-AU"/>
        </w:rPr>
        <w:t>ic</w:t>
      </w:r>
      <w:r w:rsidR="007326BD" w:rsidRPr="00F06E43">
        <w:rPr>
          <w:lang w:eastAsia="en-AU"/>
        </w:rPr>
        <w:t xml:space="preserve"> sources to produce the food additive. </w:t>
      </w:r>
      <w:r w:rsidR="001F4AC3" w:rsidRPr="00F06E43">
        <w:rPr>
          <w:lang w:eastAsia="en-AU"/>
        </w:rPr>
        <w:t>Based on the available evidence</w:t>
      </w:r>
      <w:r w:rsidR="00CC780A" w:rsidRPr="00F06E43">
        <w:rPr>
          <w:lang w:eastAsia="en-AU"/>
        </w:rPr>
        <w:t xml:space="preserve"> and taking into account</w:t>
      </w:r>
      <w:r w:rsidR="001F4AC3" w:rsidRPr="00F06E43">
        <w:rPr>
          <w:lang w:eastAsia="en-AU"/>
        </w:rPr>
        <w:t xml:space="preserve"> the purification processes used during production, there are unlikely to be allergenicity concerns related to use of the food additive, including extending its use as a glazing agent for fresh fruits and vegetables.</w:t>
      </w:r>
    </w:p>
    <w:p w14:paraId="4445F091" w14:textId="6EABCAAC" w:rsidR="007326BD" w:rsidRPr="00D905F2" w:rsidRDefault="007326BD" w:rsidP="00E03443">
      <w:pPr>
        <w:rPr>
          <w:color w:val="FF0000"/>
          <w:lang w:eastAsia="en-AU" w:bidi="ar-SA"/>
        </w:rPr>
      </w:pPr>
      <w:r w:rsidRPr="00D905F2">
        <w:rPr>
          <w:color w:val="FF0000"/>
          <w:lang w:eastAsia="en-AU"/>
        </w:rPr>
        <w:t>.</w:t>
      </w:r>
    </w:p>
    <w:p w14:paraId="56FAD572" w14:textId="77777777" w:rsidR="00E03443" w:rsidRDefault="00E03443" w:rsidP="00690206"/>
    <w:p w14:paraId="295C678B" w14:textId="77777777" w:rsidR="00E32ACE" w:rsidRDefault="00E32ACE" w:rsidP="00690206">
      <w:pPr>
        <w:sectPr w:rsidR="00E32ACE"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4B0A7AE6" w14:textId="4725114B" w:rsidR="007326BD"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8251541" w:history="1">
        <w:r w:rsidR="007326BD" w:rsidRPr="002B42B9">
          <w:rPr>
            <w:rStyle w:val="Hyperlink"/>
            <w:noProof/>
          </w:rPr>
          <w:t>Executive summary</w:t>
        </w:r>
        <w:r w:rsidR="007326BD">
          <w:rPr>
            <w:noProof/>
            <w:webHidden/>
          </w:rPr>
          <w:tab/>
        </w:r>
        <w:r w:rsidR="007326BD">
          <w:rPr>
            <w:noProof/>
            <w:webHidden/>
          </w:rPr>
          <w:fldChar w:fldCharType="begin"/>
        </w:r>
        <w:r w:rsidR="007326BD">
          <w:rPr>
            <w:noProof/>
            <w:webHidden/>
          </w:rPr>
          <w:instrText xml:space="preserve"> PAGEREF _Toc58251541 \h </w:instrText>
        </w:r>
        <w:r w:rsidR="007326BD">
          <w:rPr>
            <w:noProof/>
            <w:webHidden/>
          </w:rPr>
        </w:r>
        <w:r w:rsidR="007326BD">
          <w:rPr>
            <w:noProof/>
            <w:webHidden/>
          </w:rPr>
          <w:fldChar w:fldCharType="separate"/>
        </w:r>
        <w:r w:rsidR="00515ADA">
          <w:rPr>
            <w:noProof/>
            <w:webHidden/>
          </w:rPr>
          <w:t>i</w:t>
        </w:r>
        <w:r w:rsidR="007326BD">
          <w:rPr>
            <w:noProof/>
            <w:webHidden/>
          </w:rPr>
          <w:fldChar w:fldCharType="end"/>
        </w:r>
      </w:hyperlink>
    </w:p>
    <w:p w14:paraId="6C19A890" w14:textId="03307035" w:rsidR="007326BD" w:rsidRDefault="000F79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251542" w:history="1">
        <w:r w:rsidR="007326BD" w:rsidRPr="002B42B9">
          <w:rPr>
            <w:rStyle w:val="Hyperlink"/>
            <w:noProof/>
          </w:rPr>
          <w:t>1</w:t>
        </w:r>
        <w:r w:rsidR="007326BD">
          <w:rPr>
            <w:rFonts w:eastAsiaTheme="minorEastAsia" w:cstheme="minorBidi"/>
            <w:b w:val="0"/>
            <w:bCs w:val="0"/>
            <w:caps w:val="0"/>
            <w:noProof/>
            <w:sz w:val="22"/>
            <w:szCs w:val="22"/>
            <w:lang w:eastAsia="en-GB" w:bidi="ar-SA"/>
          </w:rPr>
          <w:tab/>
        </w:r>
        <w:r w:rsidR="007326BD" w:rsidRPr="002B42B9">
          <w:rPr>
            <w:rStyle w:val="Hyperlink"/>
            <w:noProof/>
          </w:rPr>
          <w:t>Introduction</w:t>
        </w:r>
        <w:r w:rsidR="007326BD">
          <w:rPr>
            <w:noProof/>
            <w:webHidden/>
          </w:rPr>
          <w:tab/>
        </w:r>
        <w:r w:rsidR="007326BD">
          <w:rPr>
            <w:noProof/>
            <w:webHidden/>
          </w:rPr>
          <w:fldChar w:fldCharType="begin"/>
        </w:r>
        <w:r w:rsidR="007326BD">
          <w:rPr>
            <w:noProof/>
            <w:webHidden/>
          </w:rPr>
          <w:instrText xml:space="preserve"> PAGEREF _Toc58251542 \h </w:instrText>
        </w:r>
        <w:r w:rsidR="007326BD">
          <w:rPr>
            <w:noProof/>
            <w:webHidden/>
          </w:rPr>
        </w:r>
        <w:r w:rsidR="007326BD">
          <w:rPr>
            <w:noProof/>
            <w:webHidden/>
          </w:rPr>
          <w:fldChar w:fldCharType="separate"/>
        </w:r>
        <w:r w:rsidR="00515ADA">
          <w:rPr>
            <w:noProof/>
            <w:webHidden/>
          </w:rPr>
          <w:t>3</w:t>
        </w:r>
        <w:r w:rsidR="007326BD">
          <w:rPr>
            <w:noProof/>
            <w:webHidden/>
          </w:rPr>
          <w:fldChar w:fldCharType="end"/>
        </w:r>
      </w:hyperlink>
    </w:p>
    <w:p w14:paraId="2F648271" w14:textId="5847BE1F"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43" w:history="1">
        <w:r w:rsidR="007326BD" w:rsidRPr="002B42B9">
          <w:rPr>
            <w:rStyle w:val="Hyperlink"/>
            <w:noProof/>
          </w:rPr>
          <w:t>1.1</w:t>
        </w:r>
        <w:r w:rsidR="007326BD">
          <w:rPr>
            <w:rFonts w:eastAsiaTheme="minorEastAsia" w:cstheme="minorBidi"/>
            <w:smallCaps w:val="0"/>
            <w:noProof/>
            <w:sz w:val="22"/>
            <w:szCs w:val="22"/>
            <w:lang w:eastAsia="en-GB" w:bidi="ar-SA"/>
          </w:rPr>
          <w:tab/>
        </w:r>
        <w:r w:rsidR="007326BD" w:rsidRPr="002B42B9">
          <w:rPr>
            <w:rStyle w:val="Hyperlink"/>
            <w:noProof/>
          </w:rPr>
          <w:t>Objectives of the assessment</w:t>
        </w:r>
        <w:r w:rsidR="007326BD">
          <w:rPr>
            <w:noProof/>
            <w:webHidden/>
          </w:rPr>
          <w:tab/>
        </w:r>
        <w:r w:rsidR="007326BD">
          <w:rPr>
            <w:noProof/>
            <w:webHidden/>
          </w:rPr>
          <w:fldChar w:fldCharType="begin"/>
        </w:r>
        <w:r w:rsidR="007326BD">
          <w:rPr>
            <w:noProof/>
            <w:webHidden/>
          </w:rPr>
          <w:instrText xml:space="preserve"> PAGEREF _Toc58251543 \h </w:instrText>
        </w:r>
        <w:r w:rsidR="007326BD">
          <w:rPr>
            <w:noProof/>
            <w:webHidden/>
          </w:rPr>
        </w:r>
        <w:r w:rsidR="007326BD">
          <w:rPr>
            <w:noProof/>
            <w:webHidden/>
          </w:rPr>
          <w:fldChar w:fldCharType="separate"/>
        </w:r>
        <w:r w:rsidR="00515ADA">
          <w:rPr>
            <w:noProof/>
            <w:webHidden/>
          </w:rPr>
          <w:t>3</w:t>
        </w:r>
        <w:r w:rsidR="007326BD">
          <w:rPr>
            <w:noProof/>
            <w:webHidden/>
          </w:rPr>
          <w:fldChar w:fldCharType="end"/>
        </w:r>
      </w:hyperlink>
    </w:p>
    <w:p w14:paraId="3DECF2B5" w14:textId="136FC1A7" w:rsidR="007326BD" w:rsidRDefault="000F79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251544" w:history="1">
        <w:r w:rsidR="007326BD" w:rsidRPr="002B42B9">
          <w:rPr>
            <w:rStyle w:val="Hyperlink"/>
            <w:noProof/>
          </w:rPr>
          <w:t>2.</w:t>
        </w:r>
        <w:r w:rsidR="007326BD">
          <w:rPr>
            <w:rFonts w:eastAsiaTheme="minorEastAsia" w:cstheme="minorBidi"/>
            <w:b w:val="0"/>
            <w:bCs w:val="0"/>
            <w:caps w:val="0"/>
            <w:noProof/>
            <w:sz w:val="22"/>
            <w:szCs w:val="22"/>
            <w:lang w:eastAsia="en-GB" w:bidi="ar-SA"/>
          </w:rPr>
          <w:tab/>
        </w:r>
        <w:r w:rsidR="007326BD" w:rsidRPr="002B42B9">
          <w:rPr>
            <w:rStyle w:val="Hyperlink"/>
            <w:noProof/>
          </w:rPr>
          <w:t>Food technology assessment</w:t>
        </w:r>
        <w:r w:rsidR="007326BD">
          <w:rPr>
            <w:noProof/>
            <w:webHidden/>
          </w:rPr>
          <w:tab/>
        </w:r>
        <w:r w:rsidR="007326BD">
          <w:rPr>
            <w:noProof/>
            <w:webHidden/>
          </w:rPr>
          <w:fldChar w:fldCharType="begin"/>
        </w:r>
        <w:r w:rsidR="007326BD">
          <w:rPr>
            <w:noProof/>
            <w:webHidden/>
          </w:rPr>
          <w:instrText xml:space="preserve"> PAGEREF _Toc58251544 \h </w:instrText>
        </w:r>
        <w:r w:rsidR="007326BD">
          <w:rPr>
            <w:noProof/>
            <w:webHidden/>
          </w:rPr>
        </w:r>
        <w:r w:rsidR="007326BD">
          <w:rPr>
            <w:noProof/>
            <w:webHidden/>
          </w:rPr>
          <w:fldChar w:fldCharType="separate"/>
        </w:r>
        <w:r w:rsidR="00515ADA">
          <w:rPr>
            <w:noProof/>
            <w:webHidden/>
          </w:rPr>
          <w:t>3</w:t>
        </w:r>
        <w:r w:rsidR="007326BD">
          <w:rPr>
            <w:noProof/>
            <w:webHidden/>
          </w:rPr>
          <w:fldChar w:fldCharType="end"/>
        </w:r>
      </w:hyperlink>
    </w:p>
    <w:p w14:paraId="4627D26F" w14:textId="582ACF3F"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45" w:history="1">
        <w:r w:rsidR="007326BD" w:rsidRPr="002B42B9">
          <w:rPr>
            <w:rStyle w:val="Hyperlink"/>
            <w:noProof/>
          </w:rPr>
          <w:t>2.1</w:t>
        </w:r>
        <w:r w:rsidR="007326BD">
          <w:rPr>
            <w:rFonts w:eastAsiaTheme="minorEastAsia" w:cstheme="minorBidi"/>
            <w:smallCaps w:val="0"/>
            <w:noProof/>
            <w:sz w:val="22"/>
            <w:szCs w:val="22"/>
            <w:lang w:eastAsia="en-GB" w:bidi="ar-SA"/>
          </w:rPr>
          <w:tab/>
        </w:r>
        <w:r w:rsidR="007326BD" w:rsidRPr="002B42B9">
          <w:rPr>
            <w:rStyle w:val="Hyperlink"/>
            <w:noProof/>
          </w:rPr>
          <w:t>Characterisation of mono- and diglycerides of fatty acids</w:t>
        </w:r>
        <w:r w:rsidR="007326BD">
          <w:rPr>
            <w:noProof/>
            <w:webHidden/>
          </w:rPr>
          <w:tab/>
        </w:r>
        <w:r w:rsidR="007326BD">
          <w:rPr>
            <w:noProof/>
            <w:webHidden/>
          </w:rPr>
          <w:fldChar w:fldCharType="begin"/>
        </w:r>
        <w:r w:rsidR="007326BD">
          <w:rPr>
            <w:noProof/>
            <w:webHidden/>
          </w:rPr>
          <w:instrText xml:space="preserve"> PAGEREF _Toc58251545 \h </w:instrText>
        </w:r>
        <w:r w:rsidR="007326BD">
          <w:rPr>
            <w:noProof/>
            <w:webHidden/>
          </w:rPr>
        </w:r>
        <w:r w:rsidR="007326BD">
          <w:rPr>
            <w:noProof/>
            <w:webHidden/>
          </w:rPr>
          <w:fldChar w:fldCharType="separate"/>
        </w:r>
        <w:r w:rsidR="00515ADA">
          <w:rPr>
            <w:noProof/>
            <w:webHidden/>
          </w:rPr>
          <w:t>3</w:t>
        </w:r>
        <w:r w:rsidR="007326BD">
          <w:rPr>
            <w:noProof/>
            <w:webHidden/>
          </w:rPr>
          <w:fldChar w:fldCharType="end"/>
        </w:r>
      </w:hyperlink>
    </w:p>
    <w:p w14:paraId="00C0CD83" w14:textId="06EC5767" w:rsidR="007326BD" w:rsidRDefault="000F7930">
      <w:pPr>
        <w:pStyle w:val="TOC3"/>
        <w:tabs>
          <w:tab w:val="left" w:pos="1100"/>
          <w:tab w:val="right" w:leader="dot" w:pos="9060"/>
        </w:tabs>
        <w:rPr>
          <w:rFonts w:eastAsiaTheme="minorEastAsia" w:cstheme="minorBidi"/>
          <w:i w:val="0"/>
          <w:iCs w:val="0"/>
          <w:noProof/>
          <w:sz w:val="22"/>
          <w:szCs w:val="22"/>
          <w:lang w:eastAsia="en-GB" w:bidi="ar-SA"/>
        </w:rPr>
      </w:pPr>
      <w:hyperlink w:anchor="_Toc58251546" w:history="1">
        <w:r w:rsidR="007326BD" w:rsidRPr="002B42B9">
          <w:rPr>
            <w:rStyle w:val="Hyperlink"/>
            <w:noProof/>
          </w:rPr>
          <w:t>2.1.1</w:t>
        </w:r>
        <w:r w:rsidR="007326BD">
          <w:rPr>
            <w:rFonts w:eastAsiaTheme="minorEastAsia" w:cstheme="minorBidi"/>
            <w:i w:val="0"/>
            <w:iCs w:val="0"/>
            <w:noProof/>
            <w:sz w:val="22"/>
            <w:szCs w:val="22"/>
            <w:lang w:eastAsia="en-GB" w:bidi="ar-SA"/>
          </w:rPr>
          <w:tab/>
        </w:r>
        <w:r w:rsidR="007326BD" w:rsidRPr="002B42B9">
          <w:rPr>
            <w:rStyle w:val="Hyperlink"/>
            <w:noProof/>
          </w:rPr>
          <w:t>Identity of the food additive</w:t>
        </w:r>
        <w:r w:rsidR="007326BD">
          <w:rPr>
            <w:noProof/>
            <w:webHidden/>
          </w:rPr>
          <w:tab/>
        </w:r>
        <w:r w:rsidR="007326BD">
          <w:rPr>
            <w:noProof/>
            <w:webHidden/>
          </w:rPr>
          <w:fldChar w:fldCharType="begin"/>
        </w:r>
        <w:r w:rsidR="007326BD">
          <w:rPr>
            <w:noProof/>
            <w:webHidden/>
          </w:rPr>
          <w:instrText xml:space="preserve"> PAGEREF _Toc58251546 \h </w:instrText>
        </w:r>
        <w:r w:rsidR="007326BD">
          <w:rPr>
            <w:noProof/>
            <w:webHidden/>
          </w:rPr>
        </w:r>
        <w:r w:rsidR="007326BD">
          <w:rPr>
            <w:noProof/>
            <w:webHidden/>
          </w:rPr>
          <w:fldChar w:fldCharType="separate"/>
        </w:r>
        <w:r w:rsidR="00515ADA">
          <w:rPr>
            <w:noProof/>
            <w:webHidden/>
          </w:rPr>
          <w:t>3</w:t>
        </w:r>
        <w:r w:rsidR="007326BD">
          <w:rPr>
            <w:noProof/>
            <w:webHidden/>
          </w:rPr>
          <w:fldChar w:fldCharType="end"/>
        </w:r>
      </w:hyperlink>
    </w:p>
    <w:p w14:paraId="7F98BE41" w14:textId="7416E4B1" w:rsidR="007326BD" w:rsidRDefault="000F7930">
      <w:pPr>
        <w:pStyle w:val="TOC3"/>
        <w:tabs>
          <w:tab w:val="left" w:pos="1100"/>
          <w:tab w:val="right" w:leader="dot" w:pos="9060"/>
        </w:tabs>
        <w:rPr>
          <w:rFonts w:eastAsiaTheme="minorEastAsia" w:cstheme="minorBidi"/>
          <w:i w:val="0"/>
          <w:iCs w:val="0"/>
          <w:noProof/>
          <w:sz w:val="22"/>
          <w:szCs w:val="22"/>
          <w:lang w:eastAsia="en-GB" w:bidi="ar-SA"/>
        </w:rPr>
      </w:pPr>
      <w:hyperlink w:anchor="_Toc58251547" w:history="1">
        <w:r w:rsidR="007326BD" w:rsidRPr="002B42B9">
          <w:rPr>
            <w:rStyle w:val="Hyperlink"/>
            <w:noProof/>
          </w:rPr>
          <w:t>2.1.2</w:t>
        </w:r>
        <w:r w:rsidR="007326BD">
          <w:rPr>
            <w:rFonts w:eastAsiaTheme="minorEastAsia" w:cstheme="minorBidi"/>
            <w:i w:val="0"/>
            <w:iCs w:val="0"/>
            <w:noProof/>
            <w:sz w:val="22"/>
            <w:szCs w:val="22"/>
            <w:lang w:eastAsia="en-GB" w:bidi="ar-SA"/>
          </w:rPr>
          <w:tab/>
        </w:r>
        <w:r w:rsidR="007326BD" w:rsidRPr="002B42B9">
          <w:rPr>
            <w:rStyle w:val="Hyperlink"/>
            <w:noProof/>
          </w:rPr>
          <w:t>Chemical and physical properties of the food additive</w:t>
        </w:r>
        <w:r w:rsidR="007326BD">
          <w:rPr>
            <w:noProof/>
            <w:webHidden/>
          </w:rPr>
          <w:tab/>
        </w:r>
        <w:r w:rsidR="007326BD">
          <w:rPr>
            <w:noProof/>
            <w:webHidden/>
          </w:rPr>
          <w:fldChar w:fldCharType="begin"/>
        </w:r>
        <w:r w:rsidR="007326BD">
          <w:rPr>
            <w:noProof/>
            <w:webHidden/>
          </w:rPr>
          <w:instrText xml:space="preserve"> PAGEREF _Toc58251547 \h </w:instrText>
        </w:r>
        <w:r w:rsidR="007326BD">
          <w:rPr>
            <w:noProof/>
            <w:webHidden/>
          </w:rPr>
        </w:r>
        <w:r w:rsidR="007326BD">
          <w:rPr>
            <w:noProof/>
            <w:webHidden/>
          </w:rPr>
          <w:fldChar w:fldCharType="separate"/>
        </w:r>
        <w:r w:rsidR="00515ADA">
          <w:rPr>
            <w:noProof/>
            <w:webHidden/>
          </w:rPr>
          <w:t>4</w:t>
        </w:r>
        <w:r w:rsidR="007326BD">
          <w:rPr>
            <w:noProof/>
            <w:webHidden/>
          </w:rPr>
          <w:fldChar w:fldCharType="end"/>
        </w:r>
      </w:hyperlink>
    </w:p>
    <w:p w14:paraId="21C7AF24" w14:textId="7C73B237" w:rsidR="007326BD" w:rsidRDefault="000F7930">
      <w:pPr>
        <w:pStyle w:val="TOC3"/>
        <w:tabs>
          <w:tab w:val="left" w:pos="1100"/>
          <w:tab w:val="right" w:leader="dot" w:pos="9060"/>
        </w:tabs>
        <w:rPr>
          <w:rFonts w:eastAsiaTheme="minorEastAsia" w:cstheme="minorBidi"/>
          <w:i w:val="0"/>
          <w:iCs w:val="0"/>
          <w:noProof/>
          <w:sz w:val="22"/>
          <w:szCs w:val="22"/>
          <w:lang w:eastAsia="en-GB" w:bidi="ar-SA"/>
        </w:rPr>
      </w:pPr>
      <w:hyperlink w:anchor="_Toc58251548" w:history="1">
        <w:r w:rsidR="007326BD" w:rsidRPr="002B42B9">
          <w:rPr>
            <w:rStyle w:val="Hyperlink"/>
            <w:noProof/>
          </w:rPr>
          <w:t>2.1.3</w:t>
        </w:r>
        <w:r w:rsidR="007326BD">
          <w:rPr>
            <w:rFonts w:eastAsiaTheme="minorEastAsia" w:cstheme="minorBidi"/>
            <w:i w:val="0"/>
            <w:iCs w:val="0"/>
            <w:noProof/>
            <w:sz w:val="22"/>
            <w:szCs w:val="22"/>
            <w:lang w:eastAsia="en-GB" w:bidi="ar-SA"/>
          </w:rPr>
          <w:tab/>
        </w:r>
        <w:r w:rsidR="007326BD" w:rsidRPr="002B42B9">
          <w:rPr>
            <w:rStyle w:val="Hyperlink"/>
            <w:noProof/>
          </w:rPr>
          <w:t>Product specifications</w:t>
        </w:r>
        <w:r w:rsidR="007326BD">
          <w:rPr>
            <w:noProof/>
            <w:webHidden/>
          </w:rPr>
          <w:tab/>
        </w:r>
        <w:r w:rsidR="007326BD">
          <w:rPr>
            <w:noProof/>
            <w:webHidden/>
          </w:rPr>
          <w:fldChar w:fldCharType="begin"/>
        </w:r>
        <w:r w:rsidR="007326BD">
          <w:rPr>
            <w:noProof/>
            <w:webHidden/>
          </w:rPr>
          <w:instrText xml:space="preserve"> PAGEREF _Toc58251548 \h </w:instrText>
        </w:r>
        <w:r w:rsidR="007326BD">
          <w:rPr>
            <w:noProof/>
            <w:webHidden/>
          </w:rPr>
        </w:r>
        <w:r w:rsidR="007326BD">
          <w:rPr>
            <w:noProof/>
            <w:webHidden/>
          </w:rPr>
          <w:fldChar w:fldCharType="separate"/>
        </w:r>
        <w:r w:rsidR="00515ADA">
          <w:rPr>
            <w:noProof/>
            <w:webHidden/>
          </w:rPr>
          <w:t>4</w:t>
        </w:r>
        <w:r w:rsidR="007326BD">
          <w:rPr>
            <w:noProof/>
            <w:webHidden/>
          </w:rPr>
          <w:fldChar w:fldCharType="end"/>
        </w:r>
      </w:hyperlink>
    </w:p>
    <w:p w14:paraId="0496A9E9" w14:textId="050729DE" w:rsidR="007326BD" w:rsidRDefault="000F7930">
      <w:pPr>
        <w:pStyle w:val="TOC3"/>
        <w:tabs>
          <w:tab w:val="left" w:pos="1100"/>
          <w:tab w:val="right" w:leader="dot" w:pos="9060"/>
        </w:tabs>
        <w:rPr>
          <w:rFonts w:eastAsiaTheme="minorEastAsia" w:cstheme="minorBidi"/>
          <w:i w:val="0"/>
          <w:iCs w:val="0"/>
          <w:noProof/>
          <w:sz w:val="22"/>
          <w:szCs w:val="22"/>
          <w:lang w:eastAsia="en-GB" w:bidi="ar-SA"/>
        </w:rPr>
      </w:pPr>
      <w:hyperlink w:anchor="_Toc58251549" w:history="1">
        <w:r w:rsidR="007326BD" w:rsidRPr="002B42B9">
          <w:rPr>
            <w:rStyle w:val="Hyperlink"/>
            <w:noProof/>
          </w:rPr>
          <w:t>2.1.4</w:t>
        </w:r>
        <w:r w:rsidR="007326BD">
          <w:rPr>
            <w:rFonts w:eastAsiaTheme="minorEastAsia" w:cstheme="minorBidi"/>
            <w:i w:val="0"/>
            <w:iCs w:val="0"/>
            <w:noProof/>
            <w:sz w:val="22"/>
            <w:szCs w:val="22"/>
            <w:lang w:eastAsia="en-GB" w:bidi="ar-SA"/>
          </w:rPr>
          <w:tab/>
        </w:r>
        <w:r w:rsidR="007326BD" w:rsidRPr="002B42B9">
          <w:rPr>
            <w:rStyle w:val="Hyperlink"/>
            <w:noProof/>
          </w:rPr>
          <w:t>Analytical method of detection</w:t>
        </w:r>
        <w:r w:rsidR="007326BD">
          <w:rPr>
            <w:noProof/>
            <w:webHidden/>
          </w:rPr>
          <w:tab/>
        </w:r>
        <w:r w:rsidR="007326BD">
          <w:rPr>
            <w:noProof/>
            <w:webHidden/>
          </w:rPr>
          <w:fldChar w:fldCharType="begin"/>
        </w:r>
        <w:r w:rsidR="007326BD">
          <w:rPr>
            <w:noProof/>
            <w:webHidden/>
          </w:rPr>
          <w:instrText xml:space="preserve"> PAGEREF _Toc58251549 \h </w:instrText>
        </w:r>
        <w:r w:rsidR="007326BD">
          <w:rPr>
            <w:noProof/>
            <w:webHidden/>
          </w:rPr>
        </w:r>
        <w:r w:rsidR="007326BD">
          <w:rPr>
            <w:noProof/>
            <w:webHidden/>
          </w:rPr>
          <w:fldChar w:fldCharType="separate"/>
        </w:r>
        <w:r w:rsidR="00515ADA">
          <w:rPr>
            <w:noProof/>
            <w:webHidden/>
          </w:rPr>
          <w:t>5</w:t>
        </w:r>
        <w:r w:rsidR="007326BD">
          <w:rPr>
            <w:noProof/>
            <w:webHidden/>
          </w:rPr>
          <w:fldChar w:fldCharType="end"/>
        </w:r>
      </w:hyperlink>
    </w:p>
    <w:p w14:paraId="2300FB1B" w14:textId="1F707232"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50" w:history="1">
        <w:r w:rsidR="007326BD" w:rsidRPr="002B42B9">
          <w:rPr>
            <w:rStyle w:val="Hyperlink"/>
            <w:noProof/>
            <w:lang w:eastAsia="en-AU"/>
          </w:rPr>
          <w:t>2.2</w:t>
        </w:r>
        <w:r w:rsidR="007326BD">
          <w:rPr>
            <w:rFonts w:eastAsiaTheme="minorEastAsia" w:cstheme="minorBidi"/>
            <w:smallCaps w:val="0"/>
            <w:noProof/>
            <w:sz w:val="22"/>
            <w:szCs w:val="22"/>
            <w:lang w:eastAsia="en-GB" w:bidi="ar-SA"/>
          </w:rPr>
          <w:tab/>
        </w:r>
        <w:r w:rsidR="007326BD" w:rsidRPr="002B42B9">
          <w:rPr>
            <w:rStyle w:val="Hyperlink"/>
            <w:noProof/>
            <w:lang w:eastAsia="en-AU"/>
          </w:rPr>
          <w:t>Manufacturing process</w:t>
        </w:r>
        <w:r w:rsidR="007326BD">
          <w:rPr>
            <w:noProof/>
            <w:webHidden/>
          </w:rPr>
          <w:tab/>
        </w:r>
        <w:r w:rsidR="007326BD">
          <w:rPr>
            <w:noProof/>
            <w:webHidden/>
          </w:rPr>
          <w:fldChar w:fldCharType="begin"/>
        </w:r>
        <w:r w:rsidR="007326BD">
          <w:rPr>
            <w:noProof/>
            <w:webHidden/>
          </w:rPr>
          <w:instrText xml:space="preserve"> PAGEREF _Toc58251550 \h </w:instrText>
        </w:r>
        <w:r w:rsidR="007326BD">
          <w:rPr>
            <w:noProof/>
            <w:webHidden/>
          </w:rPr>
        </w:r>
        <w:r w:rsidR="007326BD">
          <w:rPr>
            <w:noProof/>
            <w:webHidden/>
          </w:rPr>
          <w:fldChar w:fldCharType="separate"/>
        </w:r>
        <w:r w:rsidR="00515ADA">
          <w:rPr>
            <w:noProof/>
            <w:webHidden/>
          </w:rPr>
          <w:t>5</w:t>
        </w:r>
        <w:r w:rsidR="007326BD">
          <w:rPr>
            <w:noProof/>
            <w:webHidden/>
          </w:rPr>
          <w:fldChar w:fldCharType="end"/>
        </w:r>
      </w:hyperlink>
    </w:p>
    <w:p w14:paraId="77ADFBC5" w14:textId="373C7A50"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51" w:history="1">
        <w:r w:rsidR="007326BD" w:rsidRPr="002B42B9">
          <w:rPr>
            <w:rStyle w:val="Hyperlink"/>
            <w:noProof/>
          </w:rPr>
          <w:t>2.3</w:t>
        </w:r>
        <w:r w:rsidR="007326BD">
          <w:rPr>
            <w:rFonts w:eastAsiaTheme="minorEastAsia" w:cstheme="minorBidi"/>
            <w:smallCaps w:val="0"/>
            <w:noProof/>
            <w:sz w:val="22"/>
            <w:szCs w:val="22"/>
            <w:lang w:eastAsia="en-GB" w:bidi="ar-SA"/>
          </w:rPr>
          <w:tab/>
        </w:r>
        <w:r w:rsidR="007326BD" w:rsidRPr="002B42B9">
          <w:rPr>
            <w:rStyle w:val="Hyperlink"/>
            <w:noProof/>
          </w:rPr>
          <w:t>Technological purpose of the food additive</w:t>
        </w:r>
        <w:r w:rsidR="007326BD">
          <w:rPr>
            <w:noProof/>
            <w:webHidden/>
          </w:rPr>
          <w:tab/>
        </w:r>
        <w:r w:rsidR="007326BD">
          <w:rPr>
            <w:noProof/>
            <w:webHidden/>
          </w:rPr>
          <w:fldChar w:fldCharType="begin"/>
        </w:r>
        <w:r w:rsidR="007326BD">
          <w:rPr>
            <w:noProof/>
            <w:webHidden/>
          </w:rPr>
          <w:instrText xml:space="preserve"> PAGEREF _Toc58251551 \h </w:instrText>
        </w:r>
        <w:r w:rsidR="007326BD">
          <w:rPr>
            <w:noProof/>
            <w:webHidden/>
          </w:rPr>
        </w:r>
        <w:r w:rsidR="007326BD">
          <w:rPr>
            <w:noProof/>
            <w:webHidden/>
          </w:rPr>
          <w:fldChar w:fldCharType="separate"/>
        </w:r>
        <w:r w:rsidR="00515ADA">
          <w:rPr>
            <w:noProof/>
            <w:webHidden/>
          </w:rPr>
          <w:t>6</w:t>
        </w:r>
        <w:r w:rsidR="007326BD">
          <w:rPr>
            <w:noProof/>
            <w:webHidden/>
          </w:rPr>
          <w:fldChar w:fldCharType="end"/>
        </w:r>
      </w:hyperlink>
    </w:p>
    <w:p w14:paraId="68A0A0E9" w14:textId="2CBDC0A5"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52" w:history="1">
        <w:r w:rsidR="007326BD" w:rsidRPr="002B42B9">
          <w:rPr>
            <w:rStyle w:val="Hyperlink"/>
            <w:noProof/>
          </w:rPr>
          <w:t>2.4</w:t>
        </w:r>
        <w:r w:rsidR="007326BD">
          <w:rPr>
            <w:rFonts w:eastAsiaTheme="minorEastAsia" w:cstheme="minorBidi"/>
            <w:smallCaps w:val="0"/>
            <w:noProof/>
            <w:sz w:val="22"/>
            <w:szCs w:val="22"/>
            <w:lang w:eastAsia="en-GB" w:bidi="ar-SA"/>
          </w:rPr>
          <w:tab/>
        </w:r>
        <w:r w:rsidR="007326BD" w:rsidRPr="002B42B9">
          <w:rPr>
            <w:rStyle w:val="Hyperlink"/>
            <w:noProof/>
          </w:rPr>
          <w:t>Technological justification of the food additive</w:t>
        </w:r>
        <w:r w:rsidR="007326BD">
          <w:rPr>
            <w:noProof/>
            <w:webHidden/>
          </w:rPr>
          <w:tab/>
        </w:r>
        <w:r w:rsidR="007326BD">
          <w:rPr>
            <w:noProof/>
            <w:webHidden/>
          </w:rPr>
          <w:fldChar w:fldCharType="begin"/>
        </w:r>
        <w:r w:rsidR="007326BD">
          <w:rPr>
            <w:noProof/>
            <w:webHidden/>
          </w:rPr>
          <w:instrText xml:space="preserve"> PAGEREF _Toc58251552 \h </w:instrText>
        </w:r>
        <w:r w:rsidR="007326BD">
          <w:rPr>
            <w:noProof/>
            <w:webHidden/>
          </w:rPr>
        </w:r>
        <w:r w:rsidR="007326BD">
          <w:rPr>
            <w:noProof/>
            <w:webHidden/>
          </w:rPr>
          <w:fldChar w:fldCharType="separate"/>
        </w:r>
        <w:r w:rsidR="00515ADA">
          <w:rPr>
            <w:noProof/>
            <w:webHidden/>
          </w:rPr>
          <w:t>6</w:t>
        </w:r>
        <w:r w:rsidR="007326BD">
          <w:rPr>
            <w:noProof/>
            <w:webHidden/>
          </w:rPr>
          <w:fldChar w:fldCharType="end"/>
        </w:r>
      </w:hyperlink>
    </w:p>
    <w:p w14:paraId="7549FDA8" w14:textId="008A91EC"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53" w:history="1">
        <w:r w:rsidR="007326BD" w:rsidRPr="002B42B9">
          <w:rPr>
            <w:rStyle w:val="Hyperlink"/>
            <w:noProof/>
            <w:lang w:eastAsia="en-AU"/>
          </w:rPr>
          <w:t>2.5</w:t>
        </w:r>
        <w:r w:rsidR="007326BD">
          <w:rPr>
            <w:rFonts w:eastAsiaTheme="minorEastAsia" w:cstheme="minorBidi"/>
            <w:smallCaps w:val="0"/>
            <w:noProof/>
            <w:sz w:val="22"/>
            <w:szCs w:val="22"/>
            <w:lang w:eastAsia="en-GB" w:bidi="ar-SA"/>
          </w:rPr>
          <w:tab/>
        </w:r>
        <w:r w:rsidR="007326BD" w:rsidRPr="002B42B9">
          <w:rPr>
            <w:rStyle w:val="Hyperlink"/>
            <w:noProof/>
            <w:lang w:eastAsia="en-AU"/>
          </w:rPr>
          <w:t>Food technology conclusion</w:t>
        </w:r>
        <w:r w:rsidR="007326BD">
          <w:rPr>
            <w:noProof/>
            <w:webHidden/>
          </w:rPr>
          <w:tab/>
        </w:r>
        <w:r w:rsidR="007326BD">
          <w:rPr>
            <w:noProof/>
            <w:webHidden/>
          </w:rPr>
          <w:fldChar w:fldCharType="begin"/>
        </w:r>
        <w:r w:rsidR="007326BD">
          <w:rPr>
            <w:noProof/>
            <w:webHidden/>
          </w:rPr>
          <w:instrText xml:space="preserve"> PAGEREF _Toc58251553 \h </w:instrText>
        </w:r>
        <w:r w:rsidR="007326BD">
          <w:rPr>
            <w:noProof/>
            <w:webHidden/>
          </w:rPr>
        </w:r>
        <w:r w:rsidR="007326BD">
          <w:rPr>
            <w:noProof/>
            <w:webHidden/>
          </w:rPr>
          <w:fldChar w:fldCharType="separate"/>
        </w:r>
        <w:r w:rsidR="00515ADA">
          <w:rPr>
            <w:noProof/>
            <w:webHidden/>
          </w:rPr>
          <w:t>7</w:t>
        </w:r>
        <w:r w:rsidR="007326BD">
          <w:rPr>
            <w:noProof/>
            <w:webHidden/>
          </w:rPr>
          <w:fldChar w:fldCharType="end"/>
        </w:r>
      </w:hyperlink>
    </w:p>
    <w:p w14:paraId="32950F44" w14:textId="07402B6A" w:rsidR="007326BD" w:rsidRDefault="000F79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251554" w:history="1">
        <w:r w:rsidR="007326BD" w:rsidRPr="002B42B9">
          <w:rPr>
            <w:rStyle w:val="Hyperlink"/>
            <w:noProof/>
            <w:lang w:eastAsia="en-AU"/>
          </w:rPr>
          <w:t>3</w:t>
        </w:r>
        <w:r w:rsidR="007326BD">
          <w:rPr>
            <w:rFonts w:eastAsiaTheme="minorEastAsia" w:cstheme="minorBidi"/>
            <w:b w:val="0"/>
            <w:bCs w:val="0"/>
            <w:caps w:val="0"/>
            <w:noProof/>
            <w:sz w:val="22"/>
            <w:szCs w:val="22"/>
            <w:lang w:eastAsia="en-GB" w:bidi="ar-SA"/>
          </w:rPr>
          <w:tab/>
        </w:r>
        <w:r w:rsidR="007326BD" w:rsidRPr="002B42B9">
          <w:rPr>
            <w:rStyle w:val="Hyperlink"/>
            <w:noProof/>
            <w:lang w:eastAsia="en-AU"/>
          </w:rPr>
          <w:t>Hazard assessment</w:t>
        </w:r>
        <w:r w:rsidR="007326BD">
          <w:rPr>
            <w:noProof/>
            <w:webHidden/>
          </w:rPr>
          <w:tab/>
        </w:r>
        <w:r w:rsidR="007326BD">
          <w:rPr>
            <w:noProof/>
            <w:webHidden/>
          </w:rPr>
          <w:fldChar w:fldCharType="begin"/>
        </w:r>
        <w:r w:rsidR="007326BD">
          <w:rPr>
            <w:noProof/>
            <w:webHidden/>
          </w:rPr>
          <w:instrText xml:space="preserve"> PAGEREF _Toc58251554 \h </w:instrText>
        </w:r>
        <w:r w:rsidR="007326BD">
          <w:rPr>
            <w:noProof/>
            <w:webHidden/>
          </w:rPr>
        </w:r>
        <w:r w:rsidR="007326BD">
          <w:rPr>
            <w:noProof/>
            <w:webHidden/>
          </w:rPr>
          <w:fldChar w:fldCharType="separate"/>
        </w:r>
        <w:r w:rsidR="00515ADA">
          <w:rPr>
            <w:noProof/>
            <w:webHidden/>
          </w:rPr>
          <w:t>8</w:t>
        </w:r>
        <w:r w:rsidR="007326BD">
          <w:rPr>
            <w:noProof/>
            <w:webHidden/>
          </w:rPr>
          <w:fldChar w:fldCharType="end"/>
        </w:r>
      </w:hyperlink>
    </w:p>
    <w:p w14:paraId="1B7779A6" w14:textId="593254F3"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55" w:history="1">
        <w:r w:rsidR="007326BD" w:rsidRPr="002B42B9">
          <w:rPr>
            <w:rStyle w:val="Hyperlink"/>
            <w:noProof/>
            <w:lang w:eastAsia="en-AU"/>
          </w:rPr>
          <w:t>3.1</w:t>
        </w:r>
        <w:r w:rsidR="007326BD">
          <w:rPr>
            <w:rFonts w:eastAsiaTheme="minorEastAsia" w:cstheme="minorBidi"/>
            <w:smallCaps w:val="0"/>
            <w:noProof/>
            <w:sz w:val="22"/>
            <w:szCs w:val="22"/>
            <w:lang w:eastAsia="en-GB" w:bidi="ar-SA"/>
          </w:rPr>
          <w:tab/>
        </w:r>
        <w:r w:rsidR="007326BD" w:rsidRPr="002B42B9">
          <w:rPr>
            <w:rStyle w:val="Hyperlink"/>
            <w:noProof/>
            <w:lang w:eastAsia="en-AU"/>
          </w:rPr>
          <w:t>Background</w:t>
        </w:r>
        <w:r w:rsidR="007326BD">
          <w:rPr>
            <w:noProof/>
            <w:webHidden/>
          </w:rPr>
          <w:tab/>
        </w:r>
        <w:r w:rsidR="007326BD">
          <w:rPr>
            <w:noProof/>
            <w:webHidden/>
          </w:rPr>
          <w:fldChar w:fldCharType="begin"/>
        </w:r>
        <w:r w:rsidR="007326BD">
          <w:rPr>
            <w:noProof/>
            <w:webHidden/>
          </w:rPr>
          <w:instrText xml:space="preserve"> PAGEREF _Toc58251555 \h </w:instrText>
        </w:r>
        <w:r w:rsidR="007326BD">
          <w:rPr>
            <w:noProof/>
            <w:webHidden/>
          </w:rPr>
        </w:r>
        <w:r w:rsidR="007326BD">
          <w:rPr>
            <w:noProof/>
            <w:webHidden/>
          </w:rPr>
          <w:fldChar w:fldCharType="separate"/>
        </w:r>
        <w:r w:rsidR="00515ADA">
          <w:rPr>
            <w:noProof/>
            <w:webHidden/>
          </w:rPr>
          <w:t>8</w:t>
        </w:r>
        <w:r w:rsidR="007326BD">
          <w:rPr>
            <w:noProof/>
            <w:webHidden/>
          </w:rPr>
          <w:fldChar w:fldCharType="end"/>
        </w:r>
      </w:hyperlink>
    </w:p>
    <w:p w14:paraId="518295E4" w14:textId="2B237B37" w:rsidR="007326BD" w:rsidRDefault="000F7930">
      <w:pPr>
        <w:pStyle w:val="TOC3"/>
        <w:tabs>
          <w:tab w:val="right" w:leader="dot" w:pos="9060"/>
        </w:tabs>
        <w:rPr>
          <w:rFonts w:eastAsiaTheme="minorEastAsia" w:cstheme="minorBidi"/>
          <w:i w:val="0"/>
          <w:iCs w:val="0"/>
          <w:noProof/>
          <w:sz w:val="22"/>
          <w:szCs w:val="22"/>
          <w:lang w:eastAsia="en-GB" w:bidi="ar-SA"/>
        </w:rPr>
      </w:pPr>
      <w:hyperlink w:anchor="_Toc58251556" w:history="1">
        <w:r w:rsidR="007326BD" w:rsidRPr="002B42B9">
          <w:rPr>
            <w:rStyle w:val="Hyperlink"/>
            <w:noProof/>
          </w:rPr>
          <w:t>3.1.1 Evaluation of the submitted data</w:t>
        </w:r>
        <w:r w:rsidR="007326BD">
          <w:rPr>
            <w:noProof/>
            <w:webHidden/>
          </w:rPr>
          <w:tab/>
        </w:r>
        <w:r w:rsidR="007326BD">
          <w:rPr>
            <w:noProof/>
            <w:webHidden/>
          </w:rPr>
          <w:fldChar w:fldCharType="begin"/>
        </w:r>
        <w:r w:rsidR="007326BD">
          <w:rPr>
            <w:noProof/>
            <w:webHidden/>
          </w:rPr>
          <w:instrText xml:space="preserve"> PAGEREF _Toc58251556 \h </w:instrText>
        </w:r>
        <w:r w:rsidR="007326BD">
          <w:rPr>
            <w:noProof/>
            <w:webHidden/>
          </w:rPr>
        </w:r>
        <w:r w:rsidR="007326BD">
          <w:rPr>
            <w:noProof/>
            <w:webHidden/>
          </w:rPr>
          <w:fldChar w:fldCharType="separate"/>
        </w:r>
        <w:r w:rsidR="00515ADA">
          <w:rPr>
            <w:noProof/>
            <w:webHidden/>
          </w:rPr>
          <w:t>8</w:t>
        </w:r>
        <w:r w:rsidR="007326BD">
          <w:rPr>
            <w:noProof/>
            <w:webHidden/>
          </w:rPr>
          <w:fldChar w:fldCharType="end"/>
        </w:r>
      </w:hyperlink>
    </w:p>
    <w:p w14:paraId="19BD3BB3" w14:textId="66A59215" w:rsidR="007326BD" w:rsidRDefault="000F7930">
      <w:pPr>
        <w:pStyle w:val="TOC3"/>
        <w:tabs>
          <w:tab w:val="right" w:leader="dot" w:pos="9060"/>
        </w:tabs>
        <w:rPr>
          <w:rFonts w:eastAsiaTheme="minorEastAsia" w:cstheme="minorBidi"/>
          <w:i w:val="0"/>
          <w:iCs w:val="0"/>
          <w:noProof/>
          <w:sz w:val="22"/>
          <w:szCs w:val="22"/>
          <w:lang w:eastAsia="en-GB" w:bidi="ar-SA"/>
        </w:rPr>
      </w:pPr>
      <w:hyperlink w:anchor="_Toc58251557" w:history="1">
        <w:r w:rsidR="007326BD" w:rsidRPr="002B42B9">
          <w:rPr>
            <w:rStyle w:val="Hyperlink"/>
            <w:noProof/>
          </w:rPr>
          <w:t>3.1.2 Characteristics of the food additive</w:t>
        </w:r>
        <w:r w:rsidR="007326BD">
          <w:rPr>
            <w:noProof/>
            <w:webHidden/>
          </w:rPr>
          <w:tab/>
        </w:r>
        <w:r w:rsidR="007326BD">
          <w:rPr>
            <w:noProof/>
            <w:webHidden/>
          </w:rPr>
          <w:fldChar w:fldCharType="begin"/>
        </w:r>
        <w:r w:rsidR="007326BD">
          <w:rPr>
            <w:noProof/>
            <w:webHidden/>
          </w:rPr>
          <w:instrText xml:space="preserve"> PAGEREF _Toc58251557 \h </w:instrText>
        </w:r>
        <w:r w:rsidR="007326BD">
          <w:rPr>
            <w:noProof/>
            <w:webHidden/>
          </w:rPr>
        </w:r>
        <w:r w:rsidR="007326BD">
          <w:rPr>
            <w:noProof/>
            <w:webHidden/>
          </w:rPr>
          <w:fldChar w:fldCharType="separate"/>
        </w:r>
        <w:r w:rsidR="00515ADA">
          <w:rPr>
            <w:noProof/>
            <w:webHidden/>
          </w:rPr>
          <w:t>8</w:t>
        </w:r>
        <w:r w:rsidR="007326BD">
          <w:rPr>
            <w:noProof/>
            <w:webHidden/>
          </w:rPr>
          <w:fldChar w:fldCharType="end"/>
        </w:r>
      </w:hyperlink>
    </w:p>
    <w:p w14:paraId="0BA7FCC6" w14:textId="1685E4BF"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58" w:history="1">
        <w:r w:rsidR="007326BD" w:rsidRPr="002B42B9">
          <w:rPr>
            <w:rStyle w:val="Hyperlink"/>
            <w:noProof/>
            <w:lang w:eastAsia="en-AU"/>
          </w:rPr>
          <w:t>3.2</w:t>
        </w:r>
        <w:r w:rsidR="007326BD">
          <w:rPr>
            <w:rFonts w:eastAsiaTheme="minorEastAsia" w:cstheme="minorBidi"/>
            <w:smallCaps w:val="0"/>
            <w:noProof/>
            <w:sz w:val="22"/>
            <w:szCs w:val="22"/>
            <w:lang w:eastAsia="en-GB" w:bidi="ar-SA"/>
          </w:rPr>
          <w:tab/>
        </w:r>
        <w:r w:rsidR="007326BD" w:rsidRPr="002B42B9">
          <w:rPr>
            <w:rStyle w:val="Hyperlink"/>
            <w:noProof/>
            <w:lang w:eastAsia="en-AU"/>
          </w:rPr>
          <w:t>Toxicokinetics and metabolism</w:t>
        </w:r>
        <w:r w:rsidR="007326BD">
          <w:rPr>
            <w:noProof/>
            <w:webHidden/>
          </w:rPr>
          <w:tab/>
        </w:r>
        <w:r w:rsidR="007326BD">
          <w:rPr>
            <w:noProof/>
            <w:webHidden/>
          </w:rPr>
          <w:fldChar w:fldCharType="begin"/>
        </w:r>
        <w:r w:rsidR="007326BD">
          <w:rPr>
            <w:noProof/>
            <w:webHidden/>
          </w:rPr>
          <w:instrText xml:space="preserve"> PAGEREF _Toc58251558 \h </w:instrText>
        </w:r>
        <w:r w:rsidR="007326BD">
          <w:rPr>
            <w:noProof/>
            <w:webHidden/>
          </w:rPr>
        </w:r>
        <w:r w:rsidR="007326BD">
          <w:rPr>
            <w:noProof/>
            <w:webHidden/>
          </w:rPr>
          <w:fldChar w:fldCharType="separate"/>
        </w:r>
        <w:r w:rsidR="00515ADA">
          <w:rPr>
            <w:noProof/>
            <w:webHidden/>
          </w:rPr>
          <w:t>8</w:t>
        </w:r>
        <w:r w:rsidR="007326BD">
          <w:rPr>
            <w:noProof/>
            <w:webHidden/>
          </w:rPr>
          <w:fldChar w:fldCharType="end"/>
        </w:r>
      </w:hyperlink>
    </w:p>
    <w:p w14:paraId="4698FAFE" w14:textId="40D9320F"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59" w:history="1">
        <w:r w:rsidR="007326BD" w:rsidRPr="002B42B9">
          <w:rPr>
            <w:rStyle w:val="Hyperlink"/>
            <w:noProof/>
            <w:lang w:eastAsia="en-AU"/>
          </w:rPr>
          <w:t>3.3</w:t>
        </w:r>
        <w:r w:rsidR="007326BD">
          <w:rPr>
            <w:rFonts w:eastAsiaTheme="minorEastAsia" w:cstheme="minorBidi"/>
            <w:smallCaps w:val="0"/>
            <w:noProof/>
            <w:sz w:val="22"/>
            <w:szCs w:val="22"/>
            <w:lang w:eastAsia="en-GB" w:bidi="ar-SA"/>
          </w:rPr>
          <w:tab/>
        </w:r>
        <w:r w:rsidR="007326BD" w:rsidRPr="002B42B9">
          <w:rPr>
            <w:rStyle w:val="Hyperlink"/>
            <w:noProof/>
            <w:lang w:eastAsia="en-AU"/>
          </w:rPr>
          <w:t>Toxicity studies</w:t>
        </w:r>
        <w:r w:rsidR="007326BD">
          <w:rPr>
            <w:noProof/>
            <w:webHidden/>
          </w:rPr>
          <w:tab/>
        </w:r>
        <w:r w:rsidR="007326BD">
          <w:rPr>
            <w:noProof/>
            <w:webHidden/>
          </w:rPr>
          <w:fldChar w:fldCharType="begin"/>
        </w:r>
        <w:r w:rsidR="007326BD">
          <w:rPr>
            <w:noProof/>
            <w:webHidden/>
          </w:rPr>
          <w:instrText xml:space="preserve"> PAGEREF _Toc58251559 \h </w:instrText>
        </w:r>
        <w:r w:rsidR="007326BD">
          <w:rPr>
            <w:noProof/>
            <w:webHidden/>
          </w:rPr>
        </w:r>
        <w:r w:rsidR="007326BD">
          <w:rPr>
            <w:noProof/>
            <w:webHidden/>
          </w:rPr>
          <w:fldChar w:fldCharType="separate"/>
        </w:r>
        <w:r w:rsidR="00515ADA">
          <w:rPr>
            <w:noProof/>
            <w:webHidden/>
          </w:rPr>
          <w:t>9</w:t>
        </w:r>
        <w:r w:rsidR="007326BD">
          <w:rPr>
            <w:noProof/>
            <w:webHidden/>
          </w:rPr>
          <w:fldChar w:fldCharType="end"/>
        </w:r>
      </w:hyperlink>
    </w:p>
    <w:p w14:paraId="75E1AB8D" w14:textId="40577892" w:rsidR="007326BD" w:rsidRDefault="000F7930">
      <w:pPr>
        <w:pStyle w:val="TOC3"/>
        <w:tabs>
          <w:tab w:val="left" w:pos="1100"/>
          <w:tab w:val="right" w:leader="dot" w:pos="9060"/>
        </w:tabs>
        <w:rPr>
          <w:rFonts w:eastAsiaTheme="minorEastAsia" w:cstheme="minorBidi"/>
          <w:i w:val="0"/>
          <w:iCs w:val="0"/>
          <w:noProof/>
          <w:sz w:val="22"/>
          <w:szCs w:val="22"/>
          <w:lang w:eastAsia="en-GB" w:bidi="ar-SA"/>
        </w:rPr>
      </w:pPr>
      <w:hyperlink w:anchor="_Toc58251560" w:history="1">
        <w:r w:rsidR="007326BD" w:rsidRPr="002B42B9">
          <w:rPr>
            <w:rStyle w:val="Hyperlink"/>
            <w:noProof/>
          </w:rPr>
          <w:t>3.3.1</w:t>
        </w:r>
        <w:r w:rsidR="007326BD">
          <w:rPr>
            <w:rFonts w:eastAsiaTheme="minorEastAsia" w:cstheme="minorBidi"/>
            <w:i w:val="0"/>
            <w:iCs w:val="0"/>
            <w:noProof/>
            <w:sz w:val="22"/>
            <w:szCs w:val="22"/>
            <w:lang w:eastAsia="en-GB" w:bidi="ar-SA"/>
          </w:rPr>
          <w:tab/>
        </w:r>
        <w:r w:rsidR="007326BD" w:rsidRPr="002B42B9">
          <w:rPr>
            <w:rStyle w:val="Hyperlink"/>
            <w:noProof/>
          </w:rPr>
          <w:t>Studies in experimental animals</w:t>
        </w:r>
        <w:r w:rsidR="007326BD">
          <w:rPr>
            <w:noProof/>
            <w:webHidden/>
          </w:rPr>
          <w:tab/>
        </w:r>
        <w:r w:rsidR="007326BD">
          <w:rPr>
            <w:noProof/>
            <w:webHidden/>
          </w:rPr>
          <w:fldChar w:fldCharType="begin"/>
        </w:r>
        <w:r w:rsidR="007326BD">
          <w:rPr>
            <w:noProof/>
            <w:webHidden/>
          </w:rPr>
          <w:instrText xml:space="preserve"> PAGEREF _Toc58251560 \h </w:instrText>
        </w:r>
        <w:r w:rsidR="007326BD">
          <w:rPr>
            <w:noProof/>
            <w:webHidden/>
          </w:rPr>
        </w:r>
        <w:r w:rsidR="007326BD">
          <w:rPr>
            <w:noProof/>
            <w:webHidden/>
          </w:rPr>
          <w:fldChar w:fldCharType="separate"/>
        </w:r>
        <w:r w:rsidR="00515ADA">
          <w:rPr>
            <w:noProof/>
            <w:webHidden/>
          </w:rPr>
          <w:t>9</w:t>
        </w:r>
        <w:r w:rsidR="007326BD">
          <w:rPr>
            <w:noProof/>
            <w:webHidden/>
          </w:rPr>
          <w:fldChar w:fldCharType="end"/>
        </w:r>
      </w:hyperlink>
    </w:p>
    <w:p w14:paraId="6D7F32C9" w14:textId="3FC146FF" w:rsidR="007326BD" w:rsidRDefault="000F7930">
      <w:pPr>
        <w:pStyle w:val="TOC3"/>
        <w:tabs>
          <w:tab w:val="left" w:pos="1100"/>
          <w:tab w:val="right" w:leader="dot" w:pos="9060"/>
        </w:tabs>
        <w:rPr>
          <w:rFonts w:eastAsiaTheme="minorEastAsia" w:cstheme="minorBidi"/>
          <w:i w:val="0"/>
          <w:iCs w:val="0"/>
          <w:noProof/>
          <w:sz w:val="22"/>
          <w:szCs w:val="22"/>
          <w:lang w:eastAsia="en-GB" w:bidi="ar-SA"/>
        </w:rPr>
      </w:pPr>
      <w:hyperlink w:anchor="_Toc58251561" w:history="1">
        <w:r w:rsidR="007326BD" w:rsidRPr="002B42B9">
          <w:rPr>
            <w:rStyle w:val="Hyperlink"/>
            <w:noProof/>
          </w:rPr>
          <w:t>3.3.2</w:t>
        </w:r>
        <w:r w:rsidR="007326BD">
          <w:rPr>
            <w:rFonts w:eastAsiaTheme="minorEastAsia" w:cstheme="minorBidi"/>
            <w:i w:val="0"/>
            <w:iCs w:val="0"/>
            <w:noProof/>
            <w:sz w:val="22"/>
            <w:szCs w:val="22"/>
            <w:lang w:eastAsia="en-GB" w:bidi="ar-SA"/>
          </w:rPr>
          <w:tab/>
        </w:r>
        <w:r w:rsidR="007326BD" w:rsidRPr="002B42B9">
          <w:rPr>
            <w:rStyle w:val="Hyperlink"/>
            <w:noProof/>
          </w:rPr>
          <w:t>Human tolerance studies</w:t>
        </w:r>
        <w:r w:rsidR="007326BD">
          <w:rPr>
            <w:noProof/>
            <w:webHidden/>
          </w:rPr>
          <w:tab/>
        </w:r>
        <w:r w:rsidR="007326BD">
          <w:rPr>
            <w:noProof/>
            <w:webHidden/>
          </w:rPr>
          <w:fldChar w:fldCharType="begin"/>
        </w:r>
        <w:r w:rsidR="007326BD">
          <w:rPr>
            <w:noProof/>
            <w:webHidden/>
          </w:rPr>
          <w:instrText xml:space="preserve"> PAGEREF _Toc58251561 \h </w:instrText>
        </w:r>
        <w:r w:rsidR="007326BD">
          <w:rPr>
            <w:noProof/>
            <w:webHidden/>
          </w:rPr>
        </w:r>
        <w:r w:rsidR="007326BD">
          <w:rPr>
            <w:noProof/>
            <w:webHidden/>
          </w:rPr>
          <w:fldChar w:fldCharType="separate"/>
        </w:r>
        <w:r w:rsidR="00515ADA">
          <w:rPr>
            <w:noProof/>
            <w:webHidden/>
          </w:rPr>
          <w:t>18</w:t>
        </w:r>
        <w:r w:rsidR="007326BD">
          <w:rPr>
            <w:noProof/>
            <w:webHidden/>
          </w:rPr>
          <w:fldChar w:fldCharType="end"/>
        </w:r>
      </w:hyperlink>
    </w:p>
    <w:p w14:paraId="43CC3EE2" w14:textId="08A27535"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62" w:history="1">
        <w:r w:rsidR="007326BD" w:rsidRPr="002B42B9">
          <w:rPr>
            <w:rStyle w:val="Hyperlink"/>
            <w:noProof/>
            <w:lang w:eastAsia="en-AU"/>
          </w:rPr>
          <w:t>3.4</w:t>
        </w:r>
        <w:r w:rsidR="007326BD">
          <w:rPr>
            <w:rFonts w:eastAsiaTheme="minorEastAsia" w:cstheme="minorBidi"/>
            <w:smallCaps w:val="0"/>
            <w:noProof/>
            <w:sz w:val="22"/>
            <w:szCs w:val="22"/>
            <w:lang w:eastAsia="en-GB" w:bidi="ar-SA"/>
          </w:rPr>
          <w:tab/>
        </w:r>
        <w:r w:rsidR="007326BD" w:rsidRPr="002B42B9">
          <w:rPr>
            <w:rStyle w:val="Hyperlink"/>
            <w:noProof/>
            <w:lang w:eastAsia="en-AU"/>
          </w:rPr>
          <w:t>Assessments by other agencies</w:t>
        </w:r>
        <w:r w:rsidR="007326BD">
          <w:rPr>
            <w:noProof/>
            <w:webHidden/>
          </w:rPr>
          <w:tab/>
        </w:r>
        <w:r w:rsidR="007326BD">
          <w:rPr>
            <w:noProof/>
            <w:webHidden/>
          </w:rPr>
          <w:fldChar w:fldCharType="begin"/>
        </w:r>
        <w:r w:rsidR="007326BD">
          <w:rPr>
            <w:noProof/>
            <w:webHidden/>
          </w:rPr>
          <w:instrText xml:space="preserve"> PAGEREF _Toc58251562 \h </w:instrText>
        </w:r>
        <w:r w:rsidR="007326BD">
          <w:rPr>
            <w:noProof/>
            <w:webHidden/>
          </w:rPr>
        </w:r>
        <w:r w:rsidR="007326BD">
          <w:rPr>
            <w:noProof/>
            <w:webHidden/>
          </w:rPr>
          <w:fldChar w:fldCharType="separate"/>
        </w:r>
        <w:r w:rsidR="00515ADA">
          <w:rPr>
            <w:noProof/>
            <w:webHidden/>
          </w:rPr>
          <w:t>19</w:t>
        </w:r>
        <w:r w:rsidR="007326BD">
          <w:rPr>
            <w:noProof/>
            <w:webHidden/>
          </w:rPr>
          <w:fldChar w:fldCharType="end"/>
        </w:r>
      </w:hyperlink>
    </w:p>
    <w:p w14:paraId="0D95334E" w14:textId="02B0627A"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63" w:history="1">
        <w:r w:rsidR="007326BD" w:rsidRPr="002B42B9">
          <w:rPr>
            <w:rStyle w:val="Hyperlink"/>
            <w:noProof/>
            <w:lang w:eastAsia="en-AU"/>
          </w:rPr>
          <w:t>3.5</w:t>
        </w:r>
        <w:r w:rsidR="007326BD">
          <w:rPr>
            <w:rFonts w:eastAsiaTheme="minorEastAsia" w:cstheme="minorBidi"/>
            <w:smallCaps w:val="0"/>
            <w:noProof/>
            <w:sz w:val="22"/>
            <w:szCs w:val="22"/>
            <w:lang w:eastAsia="en-GB" w:bidi="ar-SA"/>
          </w:rPr>
          <w:tab/>
        </w:r>
        <w:r w:rsidR="007326BD" w:rsidRPr="002B42B9">
          <w:rPr>
            <w:rStyle w:val="Hyperlink"/>
            <w:noProof/>
          </w:rPr>
          <w:t>Potential allergen issues</w:t>
        </w:r>
        <w:r w:rsidR="007326BD">
          <w:rPr>
            <w:noProof/>
            <w:webHidden/>
          </w:rPr>
          <w:tab/>
        </w:r>
        <w:r w:rsidR="007326BD">
          <w:rPr>
            <w:noProof/>
            <w:webHidden/>
          </w:rPr>
          <w:fldChar w:fldCharType="begin"/>
        </w:r>
        <w:r w:rsidR="007326BD">
          <w:rPr>
            <w:noProof/>
            <w:webHidden/>
          </w:rPr>
          <w:instrText xml:space="preserve"> PAGEREF _Toc58251563 \h </w:instrText>
        </w:r>
        <w:r w:rsidR="007326BD">
          <w:rPr>
            <w:noProof/>
            <w:webHidden/>
          </w:rPr>
        </w:r>
        <w:r w:rsidR="007326BD">
          <w:rPr>
            <w:noProof/>
            <w:webHidden/>
          </w:rPr>
          <w:fldChar w:fldCharType="separate"/>
        </w:r>
        <w:r w:rsidR="00515ADA">
          <w:rPr>
            <w:noProof/>
            <w:webHidden/>
          </w:rPr>
          <w:t>20</w:t>
        </w:r>
        <w:r w:rsidR="007326BD">
          <w:rPr>
            <w:noProof/>
            <w:webHidden/>
          </w:rPr>
          <w:fldChar w:fldCharType="end"/>
        </w:r>
      </w:hyperlink>
    </w:p>
    <w:p w14:paraId="2FDDEA97" w14:textId="7E7D67B3" w:rsidR="007326BD" w:rsidRDefault="000F7930">
      <w:pPr>
        <w:pStyle w:val="TOC1"/>
        <w:tabs>
          <w:tab w:val="right" w:leader="dot" w:pos="9060"/>
        </w:tabs>
        <w:rPr>
          <w:rFonts w:eastAsiaTheme="minorEastAsia" w:cstheme="minorBidi"/>
          <w:b w:val="0"/>
          <w:bCs w:val="0"/>
          <w:caps w:val="0"/>
          <w:noProof/>
          <w:sz w:val="22"/>
          <w:szCs w:val="22"/>
          <w:lang w:eastAsia="en-GB" w:bidi="ar-SA"/>
        </w:rPr>
      </w:pPr>
      <w:hyperlink w:anchor="_Toc58251564" w:history="1">
        <w:r w:rsidR="007326BD" w:rsidRPr="002B42B9">
          <w:rPr>
            <w:rStyle w:val="Hyperlink"/>
            <w:noProof/>
          </w:rPr>
          <w:t>4 Dietary Exposure Assessment</w:t>
        </w:r>
        <w:r w:rsidR="007326BD">
          <w:rPr>
            <w:noProof/>
            <w:webHidden/>
          </w:rPr>
          <w:tab/>
        </w:r>
        <w:r w:rsidR="007326BD">
          <w:rPr>
            <w:noProof/>
            <w:webHidden/>
          </w:rPr>
          <w:fldChar w:fldCharType="begin"/>
        </w:r>
        <w:r w:rsidR="007326BD">
          <w:rPr>
            <w:noProof/>
            <w:webHidden/>
          </w:rPr>
          <w:instrText xml:space="preserve"> PAGEREF _Toc58251564 \h </w:instrText>
        </w:r>
        <w:r w:rsidR="007326BD">
          <w:rPr>
            <w:noProof/>
            <w:webHidden/>
          </w:rPr>
        </w:r>
        <w:r w:rsidR="007326BD">
          <w:rPr>
            <w:noProof/>
            <w:webHidden/>
          </w:rPr>
          <w:fldChar w:fldCharType="separate"/>
        </w:r>
        <w:r w:rsidR="00515ADA">
          <w:rPr>
            <w:noProof/>
            <w:webHidden/>
          </w:rPr>
          <w:t>20</w:t>
        </w:r>
        <w:r w:rsidR="007326BD">
          <w:rPr>
            <w:noProof/>
            <w:webHidden/>
          </w:rPr>
          <w:fldChar w:fldCharType="end"/>
        </w:r>
      </w:hyperlink>
    </w:p>
    <w:p w14:paraId="6F7D5F9F" w14:textId="1E076A49" w:rsidR="007326BD" w:rsidRDefault="000F7930">
      <w:pPr>
        <w:pStyle w:val="TOC2"/>
        <w:tabs>
          <w:tab w:val="right" w:leader="dot" w:pos="9060"/>
        </w:tabs>
        <w:rPr>
          <w:rFonts w:eastAsiaTheme="minorEastAsia" w:cstheme="minorBidi"/>
          <w:smallCaps w:val="0"/>
          <w:noProof/>
          <w:sz w:val="22"/>
          <w:szCs w:val="22"/>
          <w:lang w:eastAsia="en-GB" w:bidi="ar-SA"/>
        </w:rPr>
      </w:pPr>
      <w:hyperlink w:anchor="_Toc58251565" w:history="1">
        <w:r w:rsidR="007326BD" w:rsidRPr="002B42B9">
          <w:rPr>
            <w:rStyle w:val="Hyperlink"/>
            <w:noProof/>
          </w:rPr>
          <w:t>4.1 Dietary exposure assessment methodology</w:t>
        </w:r>
        <w:r w:rsidR="007326BD">
          <w:rPr>
            <w:noProof/>
            <w:webHidden/>
          </w:rPr>
          <w:tab/>
        </w:r>
        <w:r w:rsidR="007326BD">
          <w:rPr>
            <w:noProof/>
            <w:webHidden/>
          </w:rPr>
          <w:fldChar w:fldCharType="begin"/>
        </w:r>
        <w:r w:rsidR="007326BD">
          <w:rPr>
            <w:noProof/>
            <w:webHidden/>
          </w:rPr>
          <w:instrText xml:space="preserve"> PAGEREF _Toc58251565 \h </w:instrText>
        </w:r>
        <w:r w:rsidR="007326BD">
          <w:rPr>
            <w:noProof/>
            <w:webHidden/>
          </w:rPr>
        </w:r>
        <w:r w:rsidR="007326BD">
          <w:rPr>
            <w:noProof/>
            <w:webHidden/>
          </w:rPr>
          <w:fldChar w:fldCharType="separate"/>
        </w:r>
        <w:r w:rsidR="00515ADA">
          <w:rPr>
            <w:noProof/>
            <w:webHidden/>
          </w:rPr>
          <w:t>21</w:t>
        </w:r>
        <w:r w:rsidR="007326BD">
          <w:rPr>
            <w:noProof/>
            <w:webHidden/>
          </w:rPr>
          <w:fldChar w:fldCharType="end"/>
        </w:r>
      </w:hyperlink>
    </w:p>
    <w:p w14:paraId="37CA3C84" w14:textId="1CACE428" w:rsidR="007326BD" w:rsidRDefault="000F7930">
      <w:pPr>
        <w:pStyle w:val="TOC2"/>
        <w:tabs>
          <w:tab w:val="right" w:leader="dot" w:pos="9060"/>
        </w:tabs>
        <w:rPr>
          <w:rFonts w:eastAsiaTheme="minorEastAsia" w:cstheme="minorBidi"/>
          <w:smallCaps w:val="0"/>
          <w:noProof/>
          <w:sz w:val="22"/>
          <w:szCs w:val="22"/>
          <w:lang w:eastAsia="en-GB" w:bidi="ar-SA"/>
        </w:rPr>
      </w:pPr>
      <w:hyperlink w:anchor="_Toc58251566" w:history="1">
        <w:r w:rsidR="007326BD" w:rsidRPr="002B42B9">
          <w:rPr>
            <w:rStyle w:val="Hyperlink"/>
            <w:noProof/>
          </w:rPr>
          <w:t>4.2 Food consumption data used</w:t>
        </w:r>
        <w:r w:rsidR="007326BD">
          <w:rPr>
            <w:noProof/>
            <w:webHidden/>
          </w:rPr>
          <w:tab/>
        </w:r>
        <w:r w:rsidR="007326BD">
          <w:rPr>
            <w:noProof/>
            <w:webHidden/>
          </w:rPr>
          <w:fldChar w:fldCharType="begin"/>
        </w:r>
        <w:r w:rsidR="007326BD">
          <w:rPr>
            <w:noProof/>
            <w:webHidden/>
          </w:rPr>
          <w:instrText xml:space="preserve"> PAGEREF _Toc58251566 \h </w:instrText>
        </w:r>
        <w:r w:rsidR="007326BD">
          <w:rPr>
            <w:noProof/>
            <w:webHidden/>
          </w:rPr>
        </w:r>
        <w:r w:rsidR="007326BD">
          <w:rPr>
            <w:noProof/>
            <w:webHidden/>
          </w:rPr>
          <w:fldChar w:fldCharType="separate"/>
        </w:r>
        <w:r w:rsidR="00515ADA">
          <w:rPr>
            <w:noProof/>
            <w:webHidden/>
          </w:rPr>
          <w:t>21</w:t>
        </w:r>
        <w:r w:rsidR="007326BD">
          <w:rPr>
            <w:noProof/>
            <w:webHidden/>
          </w:rPr>
          <w:fldChar w:fldCharType="end"/>
        </w:r>
      </w:hyperlink>
    </w:p>
    <w:p w14:paraId="64806134" w14:textId="0027F4EC" w:rsidR="007326BD" w:rsidRDefault="000F7930">
      <w:pPr>
        <w:pStyle w:val="TOC2"/>
        <w:tabs>
          <w:tab w:val="right" w:leader="dot" w:pos="9060"/>
        </w:tabs>
        <w:rPr>
          <w:rFonts w:eastAsiaTheme="minorEastAsia" w:cstheme="minorBidi"/>
          <w:smallCaps w:val="0"/>
          <w:noProof/>
          <w:sz w:val="22"/>
          <w:szCs w:val="22"/>
          <w:lang w:eastAsia="en-GB" w:bidi="ar-SA"/>
        </w:rPr>
      </w:pPr>
      <w:hyperlink w:anchor="_Toc58251567" w:history="1">
        <w:r w:rsidR="007326BD" w:rsidRPr="002B42B9">
          <w:rPr>
            <w:rStyle w:val="Hyperlink"/>
            <w:noProof/>
          </w:rPr>
          <w:t>4.3 Dietary Exposure Assessment Results</w:t>
        </w:r>
        <w:r w:rsidR="007326BD">
          <w:rPr>
            <w:noProof/>
            <w:webHidden/>
          </w:rPr>
          <w:tab/>
        </w:r>
        <w:r w:rsidR="007326BD">
          <w:rPr>
            <w:noProof/>
            <w:webHidden/>
          </w:rPr>
          <w:fldChar w:fldCharType="begin"/>
        </w:r>
        <w:r w:rsidR="007326BD">
          <w:rPr>
            <w:noProof/>
            <w:webHidden/>
          </w:rPr>
          <w:instrText xml:space="preserve"> PAGEREF _Toc58251567 \h </w:instrText>
        </w:r>
        <w:r w:rsidR="007326BD">
          <w:rPr>
            <w:noProof/>
            <w:webHidden/>
          </w:rPr>
        </w:r>
        <w:r w:rsidR="007326BD">
          <w:rPr>
            <w:noProof/>
            <w:webHidden/>
          </w:rPr>
          <w:fldChar w:fldCharType="separate"/>
        </w:r>
        <w:r w:rsidR="00515ADA">
          <w:rPr>
            <w:noProof/>
            <w:webHidden/>
          </w:rPr>
          <w:t>22</w:t>
        </w:r>
        <w:r w:rsidR="007326BD">
          <w:rPr>
            <w:noProof/>
            <w:webHidden/>
          </w:rPr>
          <w:fldChar w:fldCharType="end"/>
        </w:r>
      </w:hyperlink>
    </w:p>
    <w:p w14:paraId="2C1DEC25" w14:textId="4806D0A1" w:rsidR="007326BD" w:rsidRDefault="000F79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251568" w:history="1">
        <w:r w:rsidR="007326BD" w:rsidRPr="002B42B9">
          <w:rPr>
            <w:rStyle w:val="Hyperlink"/>
            <w:noProof/>
            <w:lang w:eastAsia="en-AU"/>
          </w:rPr>
          <w:t>5</w:t>
        </w:r>
        <w:r w:rsidR="007326BD">
          <w:rPr>
            <w:rFonts w:eastAsiaTheme="minorEastAsia" w:cstheme="minorBidi"/>
            <w:b w:val="0"/>
            <w:bCs w:val="0"/>
            <w:caps w:val="0"/>
            <w:noProof/>
            <w:sz w:val="22"/>
            <w:szCs w:val="22"/>
            <w:lang w:eastAsia="en-GB" w:bidi="ar-SA"/>
          </w:rPr>
          <w:tab/>
        </w:r>
        <w:r w:rsidR="007326BD" w:rsidRPr="002B42B9">
          <w:rPr>
            <w:rStyle w:val="Hyperlink"/>
            <w:noProof/>
            <w:lang w:eastAsia="en-AU"/>
          </w:rPr>
          <w:t>Discussion</w:t>
        </w:r>
        <w:r w:rsidR="007326BD">
          <w:rPr>
            <w:noProof/>
            <w:webHidden/>
          </w:rPr>
          <w:tab/>
        </w:r>
        <w:r w:rsidR="007326BD">
          <w:rPr>
            <w:noProof/>
            <w:webHidden/>
          </w:rPr>
          <w:fldChar w:fldCharType="begin"/>
        </w:r>
        <w:r w:rsidR="007326BD">
          <w:rPr>
            <w:noProof/>
            <w:webHidden/>
          </w:rPr>
          <w:instrText xml:space="preserve"> PAGEREF _Toc58251568 \h </w:instrText>
        </w:r>
        <w:r w:rsidR="007326BD">
          <w:rPr>
            <w:noProof/>
            <w:webHidden/>
          </w:rPr>
        </w:r>
        <w:r w:rsidR="007326BD">
          <w:rPr>
            <w:noProof/>
            <w:webHidden/>
          </w:rPr>
          <w:fldChar w:fldCharType="separate"/>
        </w:r>
        <w:r w:rsidR="00515ADA">
          <w:rPr>
            <w:noProof/>
            <w:webHidden/>
          </w:rPr>
          <w:t>24</w:t>
        </w:r>
        <w:r w:rsidR="007326BD">
          <w:rPr>
            <w:noProof/>
            <w:webHidden/>
          </w:rPr>
          <w:fldChar w:fldCharType="end"/>
        </w:r>
      </w:hyperlink>
    </w:p>
    <w:p w14:paraId="12F922A2" w14:textId="3767CAF1" w:rsidR="007326BD" w:rsidRDefault="000F79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251569" w:history="1">
        <w:r w:rsidR="007326BD" w:rsidRPr="002B42B9">
          <w:rPr>
            <w:rStyle w:val="Hyperlink"/>
            <w:noProof/>
            <w:lang w:eastAsia="en-AU"/>
          </w:rPr>
          <w:t>6</w:t>
        </w:r>
        <w:r w:rsidR="007326BD">
          <w:rPr>
            <w:rFonts w:eastAsiaTheme="minorEastAsia" w:cstheme="minorBidi"/>
            <w:b w:val="0"/>
            <w:bCs w:val="0"/>
            <w:caps w:val="0"/>
            <w:noProof/>
            <w:sz w:val="22"/>
            <w:szCs w:val="22"/>
            <w:lang w:eastAsia="en-GB" w:bidi="ar-SA"/>
          </w:rPr>
          <w:tab/>
        </w:r>
        <w:r w:rsidR="007326BD" w:rsidRPr="002B42B9">
          <w:rPr>
            <w:rStyle w:val="Hyperlink"/>
            <w:noProof/>
            <w:lang w:eastAsia="en-AU"/>
          </w:rPr>
          <w:t>Conclusions</w:t>
        </w:r>
        <w:r w:rsidR="007326BD">
          <w:rPr>
            <w:noProof/>
            <w:webHidden/>
          </w:rPr>
          <w:tab/>
        </w:r>
        <w:r w:rsidR="007326BD">
          <w:rPr>
            <w:noProof/>
            <w:webHidden/>
          </w:rPr>
          <w:fldChar w:fldCharType="begin"/>
        </w:r>
        <w:r w:rsidR="007326BD">
          <w:rPr>
            <w:noProof/>
            <w:webHidden/>
          </w:rPr>
          <w:instrText xml:space="preserve"> PAGEREF _Toc58251569 \h </w:instrText>
        </w:r>
        <w:r w:rsidR="007326BD">
          <w:rPr>
            <w:noProof/>
            <w:webHidden/>
          </w:rPr>
        </w:r>
        <w:r w:rsidR="007326BD">
          <w:rPr>
            <w:noProof/>
            <w:webHidden/>
          </w:rPr>
          <w:fldChar w:fldCharType="separate"/>
        </w:r>
        <w:r w:rsidR="00515ADA">
          <w:rPr>
            <w:noProof/>
            <w:webHidden/>
          </w:rPr>
          <w:t>24</w:t>
        </w:r>
        <w:r w:rsidR="007326BD">
          <w:rPr>
            <w:noProof/>
            <w:webHidden/>
          </w:rPr>
          <w:fldChar w:fldCharType="end"/>
        </w:r>
      </w:hyperlink>
    </w:p>
    <w:p w14:paraId="7AB2567F" w14:textId="14C23EF0" w:rsidR="007326BD" w:rsidRDefault="000F79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251570" w:history="1">
        <w:r w:rsidR="007326BD" w:rsidRPr="002B42B9">
          <w:rPr>
            <w:rStyle w:val="Hyperlink"/>
            <w:noProof/>
            <w:lang w:eastAsia="en-AU"/>
          </w:rPr>
          <w:t>7</w:t>
        </w:r>
        <w:r w:rsidR="007326BD">
          <w:rPr>
            <w:rFonts w:eastAsiaTheme="minorEastAsia" w:cstheme="minorBidi"/>
            <w:b w:val="0"/>
            <w:bCs w:val="0"/>
            <w:caps w:val="0"/>
            <w:noProof/>
            <w:sz w:val="22"/>
            <w:szCs w:val="22"/>
            <w:lang w:eastAsia="en-GB" w:bidi="ar-SA"/>
          </w:rPr>
          <w:tab/>
        </w:r>
        <w:r w:rsidR="007326BD" w:rsidRPr="002B42B9">
          <w:rPr>
            <w:rStyle w:val="Hyperlink"/>
            <w:noProof/>
            <w:lang w:eastAsia="en-AU"/>
          </w:rPr>
          <w:t>References</w:t>
        </w:r>
        <w:r w:rsidR="007326BD">
          <w:rPr>
            <w:noProof/>
            <w:webHidden/>
          </w:rPr>
          <w:tab/>
        </w:r>
        <w:r w:rsidR="007326BD">
          <w:rPr>
            <w:noProof/>
            <w:webHidden/>
          </w:rPr>
          <w:fldChar w:fldCharType="begin"/>
        </w:r>
        <w:r w:rsidR="007326BD">
          <w:rPr>
            <w:noProof/>
            <w:webHidden/>
          </w:rPr>
          <w:instrText xml:space="preserve"> PAGEREF _Toc58251570 \h </w:instrText>
        </w:r>
        <w:r w:rsidR="007326BD">
          <w:rPr>
            <w:noProof/>
            <w:webHidden/>
          </w:rPr>
        </w:r>
        <w:r w:rsidR="007326BD">
          <w:rPr>
            <w:noProof/>
            <w:webHidden/>
          </w:rPr>
          <w:fldChar w:fldCharType="separate"/>
        </w:r>
        <w:r w:rsidR="00515ADA">
          <w:rPr>
            <w:noProof/>
            <w:webHidden/>
          </w:rPr>
          <w:t>24</w:t>
        </w:r>
        <w:r w:rsidR="007326BD">
          <w:rPr>
            <w:noProof/>
            <w:webHidden/>
          </w:rPr>
          <w:fldChar w:fldCharType="end"/>
        </w:r>
      </w:hyperlink>
    </w:p>
    <w:p w14:paraId="26AD4870" w14:textId="2C726EC2" w:rsidR="007326BD" w:rsidRDefault="000F7930">
      <w:pPr>
        <w:pStyle w:val="TOC1"/>
        <w:tabs>
          <w:tab w:val="right" w:leader="dot" w:pos="9060"/>
        </w:tabs>
        <w:rPr>
          <w:rFonts w:eastAsiaTheme="minorEastAsia" w:cstheme="minorBidi"/>
          <w:b w:val="0"/>
          <w:bCs w:val="0"/>
          <w:caps w:val="0"/>
          <w:noProof/>
          <w:sz w:val="22"/>
          <w:szCs w:val="22"/>
          <w:lang w:eastAsia="en-GB" w:bidi="ar-SA"/>
        </w:rPr>
      </w:pPr>
      <w:hyperlink w:anchor="_Toc58251571" w:history="1">
        <w:r w:rsidR="007326BD" w:rsidRPr="002B42B9">
          <w:rPr>
            <w:rStyle w:val="Hyperlink"/>
            <w:noProof/>
          </w:rPr>
          <w:t>Appendix 1</w:t>
        </w:r>
        <w:r w:rsidR="007326BD">
          <w:rPr>
            <w:noProof/>
            <w:webHidden/>
          </w:rPr>
          <w:tab/>
        </w:r>
        <w:r w:rsidR="007326BD">
          <w:rPr>
            <w:noProof/>
            <w:webHidden/>
          </w:rPr>
          <w:fldChar w:fldCharType="begin"/>
        </w:r>
        <w:r w:rsidR="007326BD">
          <w:rPr>
            <w:noProof/>
            <w:webHidden/>
          </w:rPr>
          <w:instrText xml:space="preserve"> PAGEREF _Toc58251571 \h </w:instrText>
        </w:r>
        <w:r w:rsidR="007326BD">
          <w:rPr>
            <w:noProof/>
            <w:webHidden/>
          </w:rPr>
        </w:r>
        <w:r w:rsidR="007326BD">
          <w:rPr>
            <w:noProof/>
            <w:webHidden/>
          </w:rPr>
          <w:fldChar w:fldCharType="separate"/>
        </w:r>
        <w:r w:rsidR="00515ADA">
          <w:rPr>
            <w:noProof/>
            <w:webHidden/>
          </w:rPr>
          <w:t>28</w:t>
        </w:r>
        <w:r w:rsidR="007326BD">
          <w:rPr>
            <w:noProof/>
            <w:webHidden/>
          </w:rPr>
          <w:fldChar w:fldCharType="end"/>
        </w:r>
      </w:hyperlink>
    </w:p>
    <w:p w14:paraId="60C0C5BB" w14:textId="2250B2CB"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72" w:history="1">
        <w:r w:rsidR="007326BD" w:rsidRPr="002B42B9">
          <w:rPr>
            <w:rStyle w:val="Hyperlink"/>
            <w:noProof/>
          </w:rPr>
          <w:t>A1.1</w:t>
        </w:r>
        <w:r w:rsidR="007326BD">
          <w:rPr>
            <w:rFonts w:eastAsiaTheme="minorEastAsia" w:cstheme="minorBidi"/>
            <w:smallCaps w:val="0"/>
            <w:noProof/>
            <w:sz w:val="22"/>
            <w:szCs w:val="22"/>
            <w:lang w:eastAsia="en-GB" w:bidi="ar-SA"/>
          </w:rPr>
          <w:tab/>
        </w:r>
        <w:r w:rsidR="007326BD" w:rsidRPr="002B42B9">
          <w:rPr>
            <w:rStyle w:val="Hyperlink"/>
            <w:noProof/>
          </w:rPr>
          <w:t>Dietary exposure assessments at FSANZ</w:t>
        </w:r>
        <w:r w:rsidR="007326BD">
          <w:rPr>
            <w:noProof/>
            <w:webHidden/>
          </w:rPr>
          <w:tab/>
        </w:r>
        <w:r w:rsidR="007326BD">
          <w:rPr>
            <w:noProof/>
            <w:webHidden/>
          </w:rPr>
          <w:fldChar w:fldCharType="begin"/>
        </w:r>
        <w:r w:rsidR="007326BD">
          <w:rPr>
            <w:noProof/>
            <w:webHidden/>
          </w:rPr>
          <w:instrText xml:space="preserve"> PAGEREF _Toc58251572 \h </w:instrText>
        </w:r>
        <w:r w:rsidR="007326BD">
          <w:rPr>
            <w:noProof/>
            <w:webHidden/>
          </w:rPr>
        </w:r>
        <w:r w:rsidR="007326BD">
          <w:rPr>
            <w:noProof/>
            <w:webHidden/>
          </w:rPr>
          <w:fldChar w:fldCharType="separate"/>
        </w:r>
        <w:r w:rsidR="00515ADA">
          <w:rPr>
            <w:noProof/>
            <w:webHidden/>
          </w:rPr>
          <w:t>28</w:t>
        </w:r>
        <w:r w:rsidR="007326BD">
          <w:rPr>
            <w:noProof/>
            <w:webHidden/>
          </w:rPr>
          <w:fldChar w:fldCharType="end"/>
        </w:r>
      </w:hyperlink>
    </w:p>
    <w:p w14:paraId="5E6E76FD" w14:textId="36C87738"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73" w:history="1">
        <w:r w:rsidR="007326BD" w:rsidRPr="002B42B9">
          <w:rPr>
            <w:rStyle w:val="Hyperlink"/>
            <w:noProof/>
          </w:rPr>
          <w:t>A1.2</w:t>
        </w:r>
        <w:r w:rsidR="007326BD">
          <w:rPr>
            <w:rFonts w:eastAsiaTheme="minorEastAsia" w:cstheme="minorBidi"/>
            <w:smallCaps w:val="0"/>
            <w:noProof/>
            <w:sz w:val="22"/>
            <w:szCs w:val="22"/>
            <w:lang w:eastAsia="en-GB" w:bidi="ar-SA"/>
          </w:rPr>
          <w:tab/>
        </w:r>
        <w:r w:rsidR="007326BD" w:rsidRPr="002B42B9">
          <w:rPr>
            <w:rStyle w:val="Hyperlink"/>
            <w:noProof/>
          </w:rPr>
          <w:t>Food consumption data used</w:t>
        </w:r>
        <w:r w:rsidR="007326BD">
          <w:rPr>
            <w:noProof/>
            <w:webHidden/>
          </w:rPr>
          <w:tab/>
        </w:r>
        <w:r w:rsidR="007326BD">
          <w:rPr>
            <w:noProof/>
            <w:webHidden/>
          </w:rPr>
          <w:fldChar w:fldCharType="begin"/>
        </w:r>
        <w:r w:rsidR="007326BD">
          <w:rPr>
            <w:noProof/>
            <w:webHidden/>
          </w:rPr>
          <w:instrText xml:space="preserve"> PAGEREF _Toc58251573 \h </w:instrText>
        </w:r>
        <w:r w:rsidR="007326BD">
          <w:rPr>
            <w:noProof/>
            <w:webHidden/>
          </w:rPr>
        </w:r>
        <w:r w:rsidR="007326BD">
          <w:rPr>
            <w:noProof/>
            <w:webHidden/>
          </w:rPr>
          <w:fldChar w:fldCharType="separate"/>
        </w:r>
        <w:r w:rsidR="00515ADA">
          <w:rPr>
            <w:noProof/>
            <w:webHidden/>
          </w:rPr>
          <w:t>28</w:t>
        </w:r>
        <w:r w:rsidR="007326BD">
          <w:rPr>
            <w:noProof/>
            <w:webHidden/>
          </w:rPr>
          <w:fldChar w:fldCharType="end"/>
        </w:r>
      </w:hyperlink>
    </w:p>
    <w:p w14:paraId="4ED7C2DE" w14:textId="6511D3D0" w:rsidR="007326BD" w:rsidRDefault="000F7930">
      <w:pPr>
        <w:pStyle w:val="TOC3"/>
        <w:tabs>
          <w:tab w:val="left" w:pos="1320"/>
          <w:tab w:val="right" w:leader="dot" w:pos="9060"/>
        </w:tabs>
        <w:rPr>
          <w:rFonts w:eastAsiaTheme="minorEastAsia" w:cstheme="minorBidi"/>
          <w:i w:val="0"/>
          <w:iCs w:val="0"/>
          <w:noProof/>
          <w:sz w:val="22"/>
          <w:szCs w:val="22"/>
          <w:lang w:eastAsia="en-GB" w:bidi="ar-SA"/>
        </w:rPr>
      </w:pPr>
      <w:hyperlink w:anchor="_Toc58251574" w:history="1">
        <w:r w:rsidR="007326BD" w:rsidRPr="002B42B9">
          <w:rPr>
            <w:rStyle w:val="Hyperlink"/>
            <w:noProof/>
          </w:rPr>
          <w:t>A1.2.1</w:t>
        </w:r>
        <w:r w:rsidR="007326BD">
          <w:rPr>
            <w:rFonts w:eastAsiaTheme="minorEastAsia" w:cstheme="minorBidi"/>
            <w:i w:val="0"/>
            <w:iCs w:val="0"/>
            <w:noProof/>
            <w:sz w:val="22"/>
            <w:szCs w:val="22"/>
            <w:lang w:eastAsia="en-GB" w:bidi="ar-SA"/>
          </w:rPr>
          <w:tab/>
        </w:r>
        <w:r w:rsidR="007326BD" w:rsidRPr="002B42B9">
          <w:rPr>
            <w:rStyle w:val="Hyperlink"/>
            <w:noProof/>
          </w:rPr>
          <w:t>2011–12 Australian National Nutrition and Physical Activity Survey (2011-12 NNPAS)</w:t>
        </w:r>
        <w:r w:rsidR="007326BD">
          <w:rPr>
            <w:noProof/>
            <w:webHidden/>
          </w:rPr>
          <w:tab/>
        </w:r>
        <w:r w:rsidR="007326BD">
          <w:rPr>
            <w:noProof/>
            <w:webHidden/>
          </w:rPr>
          <w:fldChar w:fldCharType="begin"/>
        </w:r>
        <w:r w:rsidR="007326BD">
          <w:rPr>
            <w:noProof/>
            <w:webHidden/>
          </w:rPr>
          <w:instrText xml:space="preserve"> PAGEREF _Toc58251574 \h </w:instrText>
        </w:r>
        <w:r w:rsidR="007326BD">
          <w:rPr>
            <w:noProof/>
            <w:webHidden/>
          </w:rPr>
        </w:r>
        <w:r w:rsidR="007326BD">
          <w:rPr>
            <w:noProof/>
            <w:webHidden/>
          </w:rPr>
          <w:fldChar w:fldCharType="separate"/>
        </w:r>
        <w:r w:rsidR="00515ADA">
          <w:rPr>
            <w:noProof/>
            <w:webHidden/>
          </w:rPr>
          <w:t>28</w:t>
        </w:r>
        <w:r w:rsidR="007326BD">
          <w:rPr>
            <w:noProof/>
            <w:webHidden/>
          </w:rPr>
          <w:fldChar w:fldCharType="end"/>
        </w:r>
      </w:hyperlink>
    </w:p>
    <w:p w14:paraId="465B9B42" w14:textId="77AE4E45" w:rsidR="007326BD" w:rsidRDefault="000F7930">
      <w:pPr>
        <w:pStyle w:val="TOC3"/>
        <w:tabs>
          <w:tab w:val="left" w:pos="1320"/>
          <w:tab w:val="right" w:leader="dot" w:pos="9060"/>
        </w:tabs>
        <w:rPr>
          <w:rFonts w:eastAsiaTheme="minorEastAsia" w:cstheme="minorBidi"/>
          <w:i w:val="0"/>
          <w:iCs w:val="0"/>
          <w:noProof/>
          <w:sz w:val="22"/>
          <w:szCs w:val="22"/>
          <w:lang w:eastAsia="en-GB" w:bidi="ar-SA"/>
        </w:rPr>
      </w:pPr>
      <w:hyperlink w:anchor="_Toc58251575" w:history="1">
        <w:r w:rsidR="007326BD" w:rsidRPr="002B42B9">
          <w:rPr>
            <w:rStyle w:val="Hyperlink"/>
            <w:noProof/>
          </w:rPr>
          <w:t>A1.2.2</w:t>
        </w:r>
        <w:r w:rsidR="007326BD">
          <w:rPr>
            <w:rFonts w:eastAsiaTheme="minorEastAsia" w:cstheme="minorBidi"/>
            <w:i w:val="0"/>
            <w:iCs w:val="0"/>
            <w:noProof/>
            <w:sz w:val="22"/>
            <w:szCs w:val="22"/>
            <w:lang w:eastAsia="en-GB" w:bidi="ar-SA"/>
          </w:rPr>
          <w:tab/>
        </w:r>
        <w:r w:rsidR="007326BD" w:rsidRPr="002B42B9">
          <w:rPr>
            <w:rStyle w:val="Hyperlink"/>
            <w:noProof/>
          </w:rPr>
          <w:t>2002 New Zealand National Children’s Nutrition Survey (2002 NZ CNS)</w:t>
        </w:r>
        <w:r w:rsidR="007326BD">
          <w:rPr>
            <w:noProof/>
            <w:webHidden/>
          </w:rPr>
          <w:tab/>
        </w:r>
        <w:r w:rsidR="007326BD">
          <w:rPr>
            <w:noProof/>
            <w:webHidden/>
          </w:rPr>
          <w:fldChar w:fldCharType="begin"/>
        </w:r>
        <w:r w:rsidR="007326BD">
          <w:rPr>
            <w:noProof/>
            <w:webHidden/>
          </w:rPr>
          <w:instrText xml:space="preserve"> PAGEREF _Toc58251575 \h </w:instrText>
        </w:r>
        <w:r w:rsidR="007326BD">
          <w:rPr>
            <w:noProof/>
            <w:webHidden/>
          </w:rPr>
        </w:r>
        <w:r w:rsidR="007326BD">
          <w:rPr>
            <w:noProof/>
            <w:webHidden/>
          </w:rPr>
          <w:fldChar w:fldCharType="separate"/>
        </w:r>
        <w:r w:rsidR="00515ADA">
          <w:rPr>
            <w:noProof/>
            <w:webHidden/>
          </w:rPr>
          <w:t>29</w:t>
        </w:r>
        <w:r w:rsidR="007326BD">
          <w:rPr>
            <w:noProof/>
            <w:webHidden/>
          </w:rPr>
          <w:fldChar w:fldCharType="end"/>
        </w:r>
      </w:hyperlink>
    </w:p>
    <w:p w14:paraId="4360204C" w14:textId="43827B17" w:rsidR="007326BD" w:rsidRDefault="000F7930">
      <w:pPr>
        <w:pStyle w:val="TOC3"/>
        <w:tabs>
          <w:tab w:val="left" w:pos="1320"/>
          <w:tab w:val="right" w:leader="dot" w:pos="9060"/>
        </w:tabs>
        <w:rPr>
          <w:rFonts w:eastAsiaTheme="minorEastAsia" w:cstheme="minorBidi"/>
          <w:i w:val="0"/>
          <w:iCs w:val="0"/>
          <w:noProof/>
          <w:sz w:val="22"/>
          <w:szCs w:val="22"/>
          <w:lang w:eastAsia="en-GB" w:bidi="ar-SA"/>
        </w:rPr>
      </w:pPr>
      <w:hyperlink w:anchor="_Toc58251576" w:history="1">
        <w:r w:rsidR="007326BD" w:rsidRPr="002B42B9">
          <w:rPr>
            <w:rStyle w:val="Hyperlink"/>
            <w:noProof/>
          </w:rPr>
          <w:t>A1.2.3</w:t>
        </w:r>
        <w:r w:rsidR="007326BD">
          <w:rPr>
            <w:rFonts w:eastAsiaTheme="minorEastAsia" w:cstheme="minorBidi"/>
            <w:i w:val="0"/>
            <w:iCs w:val="0"/>
            <w:noProof/>
            <w:sz w:val="22"/>
            <w:szCs w:val="22"/>
            <w:lang w:eastAsia="en-GB" w:bidi="ar-SA"/>
          </w:rPr>
          <w:tab/>
        </w:r>
        <w:r w:rsidR="007326BD" w:rsidRPr="002B42B9">
          <w:rPr>
            <w:rStyle w:val="Hyperlink"/>
            <w:noProof/>
          </w:rPr>
          <w:t>2008-09 New Zealand Adult Nutrition Survey (2008 NZ ANS)</w:t>
        </w:r>
        <w:r w:rsidR="007326BD">
          <w:rPr>
            <w:noProof/>
            <w:webHidden/>
          </w:rPr>
          <w:tab/>
        </w:r>
        <w:r w:rsidR="007326BD">
          <w:rPr>
            <w:noProof/>
            <w:webHidden/>
          </w:rPr>
          <w:fldChar w:fldCharType="begin"/>
        </w:r>
        <w:r w:rsidR="007326BD">
          <w:rPr>
            <w:noProof/>
            <w:webHidden/>
          </w:rPr>
          <w:instrText xml:space="preserve"> PAGEREF _Toc58251576 \h </w:instrText>
        </w:r>
        <w:r w:rsidR="007326BD">
          <w:rPr>
            <w:noProof/>
            <w:webHidden/>
          </w:rPr>
        </w:r>
        <w:r w:rsidR="007326BD">
          <w:rPr>
            <w:noProof/>
            <w:webHidden/>
          </w:rPr>
          <w:fldChar w:fldCharType="separate"/>
        </w:r>
        <w:r w:rsidR="00515ADA">
          <w:rPr>
            <w:noProof/>
            <w:webHidden/>
          </w:rPr>
          <w:t>29</w:t>
        </w:r>
        <w:r w:rsidR="007326BD">
          <w:rPr>
            <w:noProof/>
            <w:webHidden/>
          </w:rPr>
          <w:fldChar w:fldCharType="end"/>
        </w:r>
      </w:hyperlink>
    </w:p>
    <w:p w14:paraId="59C3DDF9" w14:textId="74281A40" w:rsidR="007326BD" w:rsidRDefault="000F7930">
      <w:pPr>
        <w:pStyle w:val="TOC2"/>
        <w:tabs>
          <w:tab w:val="left" w:pos="880"/>
          <w:tab w:val="right" w:leader="dot" w:pos="9060"/>
        </w:tabs>
        <w:rPr>
          <w:rFonts w:eastAsiaTheme="minorEastAsia" w:cstheme="minorBidi"/>
          <w:smallCaps w:val="0"/>
          <w:noProof/>
          <w:sz w:val="22"/>
          <w:szCs w:val="22"/>
          <w:lang w:eastAsia="en-GB" w:bidi="ar-SA"/>
        </w:rPr>
      </w:pPr>
      <w:hyperlink w:anchor="_Toc58251577" w:history="1">
        <w:r w:rsidR="007326BD" w:rsidRPr="002B42B9">
          <w:rPr>
            <w:rStyle w:val="Hyperlink"/>
            <w:noProof/>
          </w:rPr>
          <w:t>A1.3</w:t>
        </w:r>
        <w:r w:rsidR="007326BD">
          <w:rPr>
            <w:rFonts w:eastAsiaTheme="minorEastAsia" w:cstheme="minorBidi"/>
            <w:smallCaps w:val="0"/>
            <w:noProof/>
            <w:sz w:val="22"/>
            <w:szCs w:val="22"/>
            <w:lang w:eastAsia="en-GB" w:bidi="ar-SA"/>
          </w:rPr>
          <w:tab/>
        </w:r>
        <w:r w:rsidR="007326BD" w:rsidRPr="002B42B9">
          <w:rPr>
            <w:rStyle w:val="Hyperlink"/>
            <w:noProof/>
          </w:rPr>
          <w:t>Assumptions and limitations of the dietary exposure assessment</w:t>
        </w:r>
        <w:r w:rsidR="007326BD">
          <w:rPr>
            <w:noProof/>
            <w:webHidden/>
          </w:rPr>
          <w:tab/>
        </w:r>
        <w:r w:rsidR="007326BD">
          <w:rPr>
            <w:noProof/>
            <w:webHidden/>
          </w:rPr>
          <w:fldChar w:fldCharType="begin"/>
        </w:r>
        <w:r w:rsidR="007326BD">
          <w:rPr>
            <w:noProof/>
            <w:webHidden/>
          </w:rPr>
          <w:instrText xml:space="preserve"> PAGEREF _Toc58251577 \h </w:instrText>
        </w:r>
        <w:r w:rsidR="007326BD">
          <w:rPr>
            <w:noProof/>
            <w:webHidden/>
          </w:rPr>
        </w:r>
        <w:r w:rsidR="007326BD">
          <w:rPr>
            <w:noProof/>
            <w:webHidden/>
          </w:rPr>
          <w:fldChar w:fldCharType="separate"/>
        </w:r>
        <w:r w:rsidR="00515ADA">
          <w:rPr>
            <w:noProof/>
            <w:webHidden/>
          </w:rPr>
          <w:t>29</w:t>
        </w:r>
        <w:r w:rsidR="007326BD">
          <w:rPr>
            <w:noProof/>
            <w:webHidden/>
          </w:rPr>
          <w:fldChar w:fldCharType="end"/>
        </w:r>
      </w:hyperlink>
    </w:p>
    <w:p w14:paraId="26B82DC2" w14:textId="401D9C85" w:rsidR="00562917" w:rsidRDefault="00326D85" w:rsidP="00051ED9">
      <w:r>
        <w:fldChar w:fldCharType="end"/>
      </w:r>
    </w:p>
    <w:p w14:paraId="2D94F540" w14:textId="77777777" w:rsidR="009947F2" w:rsidRDefault="009947F2" w:rsidP="00051ED9">
      <w:pPr>
        <w:sectPr w:rsidR="009947F2" w:rsidSect="00060155">
          <w:headerReference w:type="even" r:id="rId19"/>
          <w:headerReference w:type="default" r:id="rId20"/>
          <w:footerReference w:type="even" r:id="rId21"/>
          <w:headerReference w:type="first" r:id="rId22"/>
          <w:footerReference w:type="first" r:id="rId23"/>
          <w:pgSz w:w="11906" w:h="16838"/>
          <w:pgMar w:top="1418" w:right="1418" w:bottom="1418" w:left="1418" w:header="709" w:footer="709" w:gutter="0"/>
          <w:pgNumType w:fmt="lowerRoman"/>
          <w:cols w:space="708"/>
          <w:docGrid w:linePitch="360"/>
        </w:sectPr>
      </w:pPr>
    </w:p>
    <w:p w14:paraId="7286707C" w14:textId="6C4CDFFB" w:rsidR="00D60568" w:rsidRDefault="00D5518D" w:rsidP="00D5518D">
      <w:pPr>
        <w:pStyle w:val="Heading1"/>
      </w:pPr>
      <w:bookmarkStart w:id="7" w:name="_Toc42849587"/>
      <w:bookmarkStart w:id="8" w:name="_Toc46487117"/>
      <w:bookmarkStart w:id="9" w:name="_Toc58251542"/>
      <w:r>
        <w:lastRenderedPageBreak/>
        <w:t>1</w:t>
      </w:r>
      <w:r>
        <w:tab/>
        <w:t>Introduction</w:t>
      </w:r>
      <w:bookmarkEnd w:id="7"/>
      <w:bookmarkEnd w:id="8"/>
      <w:bookmarkEnd w:id="9"/>
    </w:p>
    <w:p w14:paraId="04B2E7B5" w14:textId="7942846D" w:rsidR="006D0D38" w:rsidRPr="006D0D38" w:rsidRDefault="006D0D38" w:rsidP="006D0D38">
      <w:pPr>
        <w:rPr>
          <w:lang w:bidi="ar-SA"/>
        </w:rPr>
      </w:pPr>
      <w:r>
        <w:rPr>
          <w:lang w:bidi="ar-SA"/>
        </w:rPr>
        <w:t xml:space="preserve">FSANZ received an application from Apeel Sciences to extend the use of the currently permitted food additive used at Good Manufacturing Practice (GMP) mono- and diglycerides of fatty acids as a glazing agent for fresh fruits and vegetables. The relevant food class is 4.1.2 (surface treated fruits and vegetables) in the table to section S15—5 of the Australia New Zealand Food Standards Code (the Code). </w:t>
      </w:r>
    </w:p>
    <w:p w14:paraId="4C3A1682" w14:textId="203E4510" w:rsidR="00621E9C" w:rsidRDefault="00621E9C" w:rsidP="00D5518D">
      <w:pPr>
        <w:rPr>
          <w:lang w:bidi="ar-SA"/>
        </w:rPr>
      </w:pPr>
    </w:p>
    <w:p w14:paraId="3B9515FE" w14:textId="539AD002" w:rsidR="00621E9C" w:rsidRDefault="00621E9C" w:rsidP="00621E9C">
      <w:pPr>
        <w:rPr>
          <w:lang w:eastAsia="en-AU" w:bidi="ar-SA"/>
        </w:rPr>
      </w:pPr>
      <w:r>
        <w:rPr>
          <w:lang w:eastAsia="en-AU" w:bidi="ar-SA"/>
        </w:rPr>
        <w:t>The technological purpose relevant to the application is for the extension of use of the food additive to perform the technological purpose of a ‘glazing agent’ as defined in Schedule 14</w:t>
      </w:r>
      <w:r w:rsidR="002375EF">
        <w:rPr>
          <w:lang w:eastAsia="en-AU" w:bidi="ar-SA"/>
        </w:rPr>
        <w:t xml:space="preserve"> </w:t>
      </w:r>
      <w:r w:rsidR="00271801">
        <w:rPr>
          <w:lang w:eastAsia="en-AU" w:bidi="ar-SA"/>
        </w:rPr>
        <w:t>of the Code</w:t>
      </w:r>
      <w:r>
        <w:rPr>
          <w:lang w:eastAsia="en-AU" w:bidi="ar-SA"/>
        </w:rPr>
        <w:t>. That is, the food additive ‘imparts a coating to the external surface of a food’. In the case of this application the treated food is fresh fruits and vegetables. The reason for applying a surface coating to fresh fruits and vegetables is to extend the commercial she</w:t>
      </w:r>
      <w:r w:rsidR="00E06311">
        <w:rPr>
          <w:lang w:eastAsia="en-AU" w:bidi="ar-SA"/>
        </w:rPr>
        <w:t>lf life of the treated produce.</w:t>
      </w:r>
    </w:p>
    <w:p w14:paraId="704375EC" w14:textId="77777777" w:rsidR="00043F6D" w:rsidRDefault="00043F6D" w:rsidP="00621E9C">
      <w:pPr>
        <w:rPr>
          <w:lang w:eastAsia="en-AU" w:bidi="ar-SA"/>
        </w:rPr>
      </w:pPr>
    </w:p>
    <w:p w14:paraId="4C42F568" w14:textId="7413820A" w:rsidR="00043F6D" w:rsidRDefault="00043F6D" w:rsidP="009E1FF4">
      <w:pPr>
        <w:pStyle w:val="Heading2"/>
        <w:numPr>
          <w:ilvl w:val="1"/>
          <w:numId w:val="4"/>
        </w:numPr>
      </w:pPr>
      <w:bookmarkStart w:id="10" w:name="_Toc46487118"/>
      <w:bookmarkStart w:id="11" w:name="_Toc58251543"/>
      <w:r>
        <w:t>Objectives of the assessment</w:t>
      </w:r>
      <w:bookmarkEnd w:id="10"/>
      <w:bookmarkEnd w:id="11"/>
    </w:p>
    <w:p w14:paraId="2321B661" w14:textId="12C73EDF" w:rsidR="00621E9C" w:rsidRDefault="00621E9C" w:rsidP="00621E9C">
      <w:pPr>
        <w:rPr>
          <w:lang w:eastAsia="en-AU" w:bidi="ar-SA"/>
        </w:rPr>
      </w:pPr>
      <w:r>
        <w:rPr>
          <w:lang w:eastAsia="en-AU" w:bidi="ar-SA"/>
        </w:rPr>
        <w:t>The objectives of this assessment are to:</w:t>
      </w:r>
    </w:p>
    <w:p w14:paraId="00C3B893" w14:textId="77777777" w:rsidR="0058203C" w:rsidRDefault="0058203C" w:rsidP="00621E9C">
      <w:pPr>
        <w:rPr>
          <w:lang w:eastAsia="en-AU" w:bidi="ar-SA"/>
        </w:rPr>
      </w:pPr>
    </w:p>
    <w:p w14:paraId="39EC7839" w14:textId="02BA466D" w:rsidR="00621E9C" w:rsidRDefault="008E366C" w:rsidP="001C6242">
      <w:pPr>
        <w:pStyle w:val="ListParagraph"/>
        <w:numPr>
          <w:ilvl w:val="0"/>
          <w:numId w:val="8"/>
        </w:numPr>
        <w:rPr>
          <w:lang w:eastAsia="en-AU" w:bidi="ar-SA"/>
        </w:rPr>
      </w:pPr>
      <w:r>
        <w:rPr>
          <w:lang w:eastAsia="en-AU" w:bidi="ar-SA"/>
        </w:rPr>
        <w:t>d</w:t>
      </w:r>
      <w:r w:rsidR="00043F6D">
        <w:rPr>
          <w:lang w:eastAsia="en-AU" w:bidi="ar-SA"/>
        </w:rPr>
        <w:t>etermine whether</w:t>
      </w:r>
      <w:r w:rsidR="00621E9C">
        <w:rPr>
          <w:lang w:eastAsia="en-AU" w:bidi="ar-SA"/>
        </w:rPr>
        <w:t xml:space="preserve"> mono- and diglycerides of fatty acids perform the technological purpose in the quantity and form proposed</w:t>
      </w:r>
    </w:p>
    <w:p w14:paraId="3917775B" w14:textId="119703D4" w:rsidR="00621E9C" w:rsidRDefault="008E366C" w:rsidP="001C6242">
      <w:pPr>
        <w:pStyle w:val="ListParagraph"/>
        <w:numPr>
          <w:ilvl w:val="0"/>
          <w:numId w:val="8"/>
        </w:numPr>
        <w:rPr>
          <w:lang w:eastAsia="en-AU" w:bidi="ar-SA"/>
        </w:rPr>
      </w:pPr>
      <w:r>
        <w:rPr>
          <w:lang w:eastAsia="en-AU" w:bidi="ar-SA"/>
        </w:rPr>
        <w:t>e</w:t>
      </w:r>
      <w:r w:rsidR="00621E9C">
        <w:rPr>
          <w:lang w:eastAsia="en-AU" w:bidi="ar-SA"/>
        </w:rPr>
        <w:t>valuate any potential public health and safety concerns that may arise.</w:t>
      </w:r>
    </w:p>
    <w:p w14:paraId="4244B36C" w14:textId="77777777" w:rsidR="00874B2E" w:rsidRDefault="00874B2E" w:rsidP="005F4FEF">
      <w:pPr>
        <w:pStyle w:val="ListParagraph"/>
        <w:rPr>
          <w:lang w:eastAsia="en-AU" w:bidi="ar-SA"/>
        </w:rPr>
      </w:pPr>
    </w:p>
    <w:p w14:paraId="7C994527" w14:textId="6D336EE7" w:rsidR="00D5518D" w:rsidRDefault="00D5518D" w:rsidP="00D5518D">
      <w:pPr>
        <w:pStyle w:val="Heading1"/>
      </w:pPr>
      <w:bookmarkStart w:id="12" w:name="_Toc42849589"/>
      <w:bookmarkStart w:id="13" w:name="_Toc46487119"/>
      <w:bookmarkStart w:id="14" w:name="_Toc58251544"/>
      <w:r>
        <w:t>2.</w:t>
      </w:r>
      <w:r>
        <w:tab/>
        <w:t>Food technology assessment</w:t>
      </w:r>
      <w:bookmarkEnd w:id="12"/>
      <w:bookmarkEnd w:id="13"/>
      <w:bookmarkEnd w:id="14"/>
    </w:p>
    <w:p w14:paraId="693297CA" w14:textId="10B40252" w:rsidR="00D5518D" w:rsidRDefault="00D5518D" w:rsidP="009E1FF4">
      <w:pPr>
        <w:pStyle w:val="Heading2"/>
      </w:pPr>
      <w:bookmarkStart w:id="15" w:name="_Toc42849590"/>
      <w:bookmarkStart w:id="16" w:name="_Toc46487120"/>
      <w:bookmarkStart w:id="17" w:name="_Toc58251545"/>
      <w:r>
        <w:t>2.1</w:t>
      </w:r>
      <w:r>
        <w:tab/>
        <w:t xml:space="preserve">Characterisation of </w:t>
      </w:r>
      <w:bookmarkEnd w:id="15"/>
      <w:r w:rsidR="00333614">
        <w:t>mono- and diglycerides of fatty acids</w:t>
      </w:r>
      <w:bookmarkEnd w:id="16"/>
      <w:bookmarkEnd w:id="17"/>
    </w:p>
    <w:p w14:paraId="65F5B41B" w14:textId="7606BACE" w:rsidR="00D5518D" w:rsidRDefault="00961B2C" w:rsidP="00060155">
      <w:pPr>
        <w:pStyle w:val="Heading3"/>
      </w:pPr>
      <w:bookmarkStart w:id="18" w:name="_Toc42849591"/>
      <w:bookmarkStart w:id="19" w:name="_Toc46487121"/>
      <w:bookmarkStart w:id="20" w:name="_Toc58251546"/>
      <w:r>
        <w:t>2.1.1</w:t>
      </w:r>
      <w:r>
        <w:tab/>
        <w:t>Identity of the food additive</w:t>
      </w:r>
      <w:bookmarkEnd w:id="18"/>
      <w:bookmarkEnd w:id="19"/>
      <w:bookmarkEnd w:id="20"/>
    </w:p>
    <w:p w14:paraId="20DF9D9C" w14:textId="6A351570" w:rsidR="004C41ED" w:rsidRDefault="00215F04" w:rsidP="00961B2C">
      <w:pPr>
        <w:rPr>
          <w:lang w:eastAsia="en-AU" w:bidi="ar-SA"/>
        </w:rPr>
      </w:pPr>
      <w:r>
        <w:rPr>
          <w:lang w:eastAsia="en-AU" w:bidi="ar-SA"/>
        </w:rPr>
        <w:t>Mono- and diglycerides of fatty acids is a currently permitted food additive in the Code, having the Codex Alimentarius food additive International Numbering System (INS</w:t>
      </w:r>
      <w:r w:rsidR="00C06EB5">
        <w:rPr>
          <w:lang w:eastAsia="en-AU" w:bidi="ar-SA"/>
        </w:rPr>
        <w:t>)</w:t>
      </w:r>
      <w:r>
        <w:rPr>
          <w:lang w:eastAsia="en-AU" w:bidi="ar-SA"/>
        </w:rPr>
        <w:t xml:space="preserve"> number of 471</w:t>
      </w:r>
      <w:r w:rsidR="00C06EB5">
        <w:rPr>
          <w:lang w:eastAsia="en-AU" w:bidi="ar-SA"/>
        </w:rPr>
        <w:t xml:space="preserve"> (CXG 36-1989)</w:t>
      </w:r>
      <w:r>
        <w:rPr>
          <w:lang w:eastAsia="en-AU" w:bidi="ar-SA"/>
        </w:rPr>
        <w:t xml:space="preserve">. </w:t>
      </w:r>
      <w:r w:rsidR="00C06EB5">
        <w:rPr>
          <w:lang w:eastAsia="en-AU" w:bidi="ar-SA"/>
        </w:rPr>
        <w:t>In the Code</w:t>
      </w:r>
      <w:r w:rsidR="00271801">
        <w:rPr>
          <w:lang w:eastAsia="en-AU" w:bidi="ar-SA"/>
        </w:rPr>
        <w:t>,</w:t>
      </w:r>
      <w:r w:rsidR="00C06EB5">
        <w:rPr>
          <w:lang w:eastAsia="en-AU" w:bidi="ar-SA"/>
        </w:rPr>
        <w:t xml:space="preserve"> </w:t>
      </w:r>
      <w:r w:rsidR="00333614">
        <w:rPr>
          <w:lang w:eastAsia="en-AU" w:bidi="ar-SA"/>
        </w:rPr>
        <w:t>m</w:t>
      </w:r>
      <w:r w:rsidR="00AE29EF" w:rsidRPr="00AE29EF">
        <w:rPr>
          <w:lang w:eastAsia="en-AU" w:bidi="ar-SA"/>
        </w:rPr>
        <w:t>ono- and diglycerides of fatty acids</w:t>
      </w:r>
      <w:r w:rsidR="00C06EB5">
        <w:rPr>
          <w:lang w:eastAsia="en-AU" w:bidi="ar-SA"/>
        </w:rPr>
        <w:t xml:space="preserve"> is a food additive able to be used at GMP since it is listed in the tables to section S16—2. </w:t>
      </w:r>
    </w:p>
    <w:p w14:paraId="73062EE6" w14:textId="70537EDF" w:rsidR="004C41ED" w:rsidRDefault="004C41ED" w:rsidP="00961B2C">
      <w:pPr>
        <w:rPr>
          <w:lang w:eastAsia="en-AU" w:bidi="ar-SA"/>
        </w:rPr>
      </w:pPr>
    </w:p>
    <w:p w14:paraId="4E373629" w14:textId="29C592CA" w:rsidR="004C41ED" w:rsidRDefault="004C41ED" w:rsidP="00961B2C">
      <w:pPr>
        <w:rPr>
          <w:lang w:eastAsia="en-AU" w:bidi="ar-SA"/>
        </w:rPr>
      </w:pPr>
      <w:r>
        <w:rPr>
          <w:lang w:eastAsia="en-AU" w:bidi="ar-SA"/>
        </w:rPr>
        <w:t xml:space="preserve">The identity of the food additive is well recognised since it has </w:t>
      </w:r>
      <w:r w:rsidR="005C39BE">
        <w:rPr>
          <w:lang w:eastAsia="en-AU" w:bidi="ar-SA"/>
        </w:rPr>
        <w:t>monographs</w:t>
      </w:r>
      <w:r>
        <w:rPr>
          <w:lang w:eastAsia="en-AU" w:bidi="ar-SA"/>
        </w:rPr>
        <w:t xml:space="preserve"> in internationally recognised sources of specifications</w:t>
      </w:r>
      <w:r w:rsidR="005C39BE">
        <w:rPr>
          <w:lang w:eastAsia="en-AU" w:bidi="ar-SA"/>
        </w:rPr>
        <w:t>. These include</w:t>
      </w:r>
      <w:r>
        <w:rPr>
          <w:lang w:eastAsia="en-AU" w:bidi="ar-SA"/>
        </w:rPr>
        <w:t xml:space="preserve"> the </w:t>
      </w:r>
      <w:r w:rsidR="005C39BE">
        <w:rPr>
          <w:lang w:eastAsia="en-AU" w:bidi="ar-SA"/>
        </w:rPr>
        <w:t>Combined Com</w:t>
      </w:r>
      <w:r w:rsidR="005C39BE">
        <w:rPr>
          <w:lang w:eastAsia="en-AU" w:bidi="ar-SA"/>
        </w:rPr>
        <w:lastRenderedPageBreak/>
        <w:t xml:space="preserve">pendium of Food Additives of the </w:t>
      </w:r>
      <w:r>
        <w:rPr>
          <w:lang w:eastAsia="en-AU" w:bidi="ar-SA"/>
        </w:rPr>
        <w:t xml:space="preserve">Joint FAO/WHO Expert Committee on Food Additives (JECFA), the Food Chemicals Codex </w:t>
      </w:r>
      <w:r w:rsidR="00351228">
        <w:rPr>
          <w:lang w:eastAsia="en-AU" w:bidi="ar-SA"/>
        </w:rPr>
        <w:t xml:space="preserve">(FCC) </w:t>
      </w:r>
      <w:r>
        <w:rPr>
          <w:lang w:eastAsia="en-AU" w:bidi="ar-SA"/>
        </w:rPr>
        <w:t xml:space="preserve">and the European </w:t>
      </w:r>
      <w:r w:rsidR="005C39BE">
        <w:rPr>
          <w:lang w:eastAsia="en-AU" w:bidi="ar-SA"/>
        </w:rPr>
        <w:t xml:space="preserve">Commission Regulation (EU) No 231/2012 specifications for food additives. These are primary sources of specifications in section S3—2 </w:t>
      </w:r>
      <w:r w:rsidR="00271801">
        <w:rPr>
          <w:lang w:eastAsia="en-AU" w:bidi="ar-SA"/>
        </w:rPr>
        <w:t xml:space="preserve">of the Code </w:t>
      </w:r>
      <w:r w:rsidR="005C39BE">
        <w:rPr>
          <w:lang w:eastAsia="en-AU" w:bidi="ar-SA"/>
        </w:rPr>
        <w:t>(further details below).</w:t>
      </w:r>
    </w:p>
    <w:p w14:paraId="258E129A" w14:textId="77777777" w:rsidR="004C41ED" w:rsidRDefault="004C41ED" w:rsidP="00961B2C">
      <w:pPr>
        <w:rPr>
          <w:lang w:eastAsia="en-AU" w:bidi="ar-SA"/>
        </w:rPr>
      </w:pPr>
    </w:p>
    <w:p w14:paraId="0463821C" w14:textId="3851550B" w:rsidR="00961B2C" w:rsidRDefault="0017134C" w:rsidP="00961B2C">
      <w:pPr>
        <w:rPr>
          <w:lang w:eastAsia="en-AU" w:bidi="ar-SA"/>
        </w:rPr>
      </w:pPr>
      <w:r>
        <w:rPr>
          <w:lang w:eastAsia="en-AU" w:bidi="ar-SA"/>
        </w:rPr>
        <w:t>As detailed in the JECFA specification definition</w:t>
      </w:r>
      <w:r w:rsidR="00C31474">
        <w:rPr>
          <w:lang w:eastAsia="en-AU" w:bidi="ar-SA"/>
        </w:rPr>
        <w:t>,</w:t>
      </w:r>
      <w:r>
        <w:rPr>
          <w:lang w:eastAsia="en-AU" w:bidi="ar-SA"/>
        </w:rPr>
        <w:t xml:space="preserve"> the food additive is ‘a </w:t>
      </w:r>
      <w:r w:rsidRPr="0017134C">
        <w:rPr>
          <w:lang w:eastAsia="en-AU" w:bidi="ar-SA"/>
        </w:rPr>
        <w:t>mixture of mono- and diglyceryl esters of long chain, saturated and unsaturated fatty acids that occur in food fats</w:t>
      </w:r>
      <w:r>
        <w:rPr>
          <w:lang w:eastAsia="en-AU" w:bidi="ar-SA"/>
        </w:rPr>
        <w:t xml:space="preserve">’. </w:t>
      </w:r>
      <w:r w:rsidR="00333614">
        <w:rPr>
          <w:lang w:eastAsia="en-AU" w:bidi="ar-SA"/>
        </w:rPr>
        <w:t xml:space="preserve">The food additive may also contain </w:t>
      </w:r>
      <w:r w:rsidR="00B72FF1">
        <w:rPr>
          <w:lang w:eastAsia="en-AU" w:bidi="ar-SA"/>
        </w:rPr>
        <w:t xml:space="preserve">triglycerides, </w:t>
      </w:r>
      <w:r w:rsidR="002375EF">
        <w:rPr>
          <w:lang w:eastAsia="en-AU" w:bidi="ar-SA"/>
        </w:rPr>
        <w:t>‘</w:t>
      </w:r>
      <w:r w:rsidR="00333614">
        <w:rPr>
          <w:lang w:eastAsia="en-AU" w:bidi="ar-SA"/>
        </w:rPr>
        <w:t>free glycerol, free fatty acids, soap and moisture</w:t>
      </w:r>
      <w:r w:rsidR="002375EF">
        <w:rPr>
          <w:lang w:eastAsia="en-AU" w:bidi="ar-SA"/>
        </w:rPr>
        <w:t>’</w:t>
      </w:r>
      <w:r w:rsidR="00333614">
        <w:rPr>
          <w:lang w:eastAsia="en-AU" w:bidi="ar-SA"/>
        </w:rPr>
        <w:t xml:space="preserve">. </w:t>
      </w:r>
      <w:r w:rsidR="00B72FF1">
        <w:rPr>
          <w:lang w:eastAsia="en-AU" w:bidi="ar-SA"/>
        </w:rPr>
        <w:t>T</w:t>
      </w:r>
      <w:r>
        <w:rPr>
          <w:lang w:eastAsia="en-AU" w:bidi="ar-SA"/>
        </w:rPr>
        <w:t>he food additive includes a wide range of chain lengths and isomers of mono- and diglycerides. The application contains generalised chemical structures of such mono- and diglycerides of fatty acids.</w:t>
      </w:r>
      <w:r w:rsidR="00265F05">
        <w:rPr>
          <w:lang w:eastAsia="en-AU" w:bidi="ar-SA"/>
        </w:rPr>
        <w:t xml:space="preserve"> The chemical reaction below also provides a simple schematic of the structures of both monoglycerides and diglycerides. It is noted that the R group comes from the fatty acid, and can be saturated or unsaturated and in the case of the diglyceride, </w:t>
      </w:r>
      <w:r w:rsidR="0083406C">
        <w:rPr>
          <w:lang w:eastAsia="en-AU" w:bidi="ar-SA"/>
        </w:rPr>
        <w:t>they do not need be the same, i.e</w:t>
      </w:r>
      <w:r w:rsidR="00271801">
        <w:rPr>
          <w:lang w:eastAsia="en-AU" w:bidi="ar-SA"/>
        </w:rPr>
        <w:t>.</w:t>
      </w:r>
      <w:r w:rsidR="0083406C">
        <w:rPr>
          <w:lang w:eastAsia="en-AU" w:bidi="ar-SA"/>
        </w:rPr>
        <w:t xml:space="preserve"> R can be R’ and R’’ in the structure.</w:t>
      </w:r>
      <w:r w:rsidR="00265F05">
        <w:rPr>
          <w:lang w:eastAsia="en-AU" w:bidi="ar-SA"/>
        </w:rPr>
        <w:t xml:space="preserve"> </w:t>
      </w:r>
    </w:p>
    <w:p w14:paraId="2862C29C" w14:textId="4417A519" w:rsidR="0017134C" w:rsidRDefault="0017134C" w:rsidP="00961B2C">
      <w:pPr>
        <w:rPr>
          <w:lang w:eastAsia="en-AU" w:bidi="ar-SA"/>
        </w:rPr>
      </w:pPr>
    </w:p>
    <w:p w14:paraId="5A257F81" w14:textId="22796A0B" w:rsidR="0017134C" w:rsidRDefault="0017134C" w:rsidP="00961B2C">
      <w:pPr>
        <w:rPr>
          <w:lang w:eastAsia="en-AU" w:bidi="ar-SA"/>
        </w:rPr>
      </w:pPr>
      <w:r>
        <w:rPr>
          <w:rFonts w:ascii="Roboto" w:hAnsi="Roboto"/>
          <w:noProof/>
          <w:color w:val="2962FF"/>
          <w:lang w:eastAsia="en-GB" w:bidi="ar-SA"/>
        </w:rPr>
        <w:drawing>
          <wp:inline distT="0" distB="0" distL="0" distR="0" wp14:anchorId="09772B36" wp14:editId="6D14727D">
            <wp:extent cx="5759450" cy="1073606"/>
            <wp:effectExtent l="0" t="0" r="0" b="0"/>
            <wp:docPr id="5" name="Picture 5" descr="What are Mono and Diglycerides (E471) in Food? Does it contain ...">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Mono and Diglycerides (E471) in Food? Does it contain ...">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073606"/>
                    </a:xfrm>
                    <a:prstGeom prst="rect">
                      <a:avLst/>
                    </a:prstGeom>
                    <a:noFill/>
                    <a:ln>
                      <a:noFill/>
                    </a:ln>
                  </pic:spPr>
                </pic:pic>
              </a:graphicData>
            </a:graphic>
          </wp:inline>
        </w:drawing>
      </w:r>
    </w:p>
    <w:p w14:paraId="26E5E451" w14:textId="165D975E" w:rsidR="00D92DCA" w:rsidRDefault="00D92DCA" w:rsidP="00961B2C">
      <w:pPr>
        <w:rPr>
          <w:lang w:eastAsia="en-AU" w:bidi="ar-SA"/>
        </w:rPr>
      </w:pPr>
    </w:p>
    <w:p w14:paraId="7DE0B6DE" w14:textId="0BEE3EC6" w:rsidR="009A6606" w:rsidRDefault="009A6606" w:rsidP="00961B2C">
      <w:pPr>
        <w:rPr>
          <w:lang w:eastAsia="en-AU" w:bidi="ar-SA"/>
        </w:rPr>
      </w:pPr>
      <w:r>
        <w:rPr>
          <w:lang w:eastAsia="en-AU" w:bidi="ar-SA"/>
        </w:rPr>
        <w:t xml:space="preserve">A summary of the identity of the food additive is provided in </w:t>
      </w:r>
      <w:r w:rsidR="00C14D2A" w:rsidRPr="00C14D2A">
        <w:rPr>
          <w:lang w:eastAsia="en-AU" w:bidi="ar-SA"/>
        </w:rPr>
        <w:fldChar w:fldCharType="begin"/>
      </w:r>
      <w:r w:rsidR="00C14D2A" w:rsidRPr="00C14D2A">
        <w:rPr>
          <w:lang w:eastAsia="en-AU" w:bidi="ar-SA"/>
        </w:rPr>
        <w:instrText xml:space="preserve"> REF _Ref45878112 \h </w:instrText>
      </w:r>
      <w:r w:rsidR="00C14D2A" w:rsidRPr="001C6242">
        <w:rPr>
          <w:lang w:eastAsia="en-AU" w:bidi="ar-SA"/>
        </w:rPr>
        <w:instrText xml:space="preserve"> \* MERGEFORMAT </w:instrText>
      </w:r>
      <w:r w:rsidR="00C14D2A" w:rsidRPr="00C14D2A">
        <w:rPr>
          <w:lang w:eastAsia="en-AU" w:bidi="ar-SA"/>
        </w:rPr>
      </w:r>
      <w:r w:rsidR="00C14D2A" w:rsidRPr="00C14D2A">
        <w:rPr>
          <w:lang w:eastAsia="en-AU" w:bidi="ar-SA"/>
        </w:rPr>
        <w:fldChar w:fldCharType="separate"/>
      </w:r>
      <w:r w:rsidR="00515ADA" w:rsidRPr="00515ADA">
        <w:rPr>
          <w:szCs w:val="22"/>
        </w:rPr>
        <w:t xml:space="preserve">Table </w:t>
      </w:r>
      <w:r w:rsidR="00515ADA" w:rsidRPr="00515ADA">
        <w:rPr>
          <w:noProof/>
          <w:szCs w:val="22"/>
        </w:rPr>
        <w:t>1</w:t>
      </w:r>
      <w:r w:rsidR="00C14D2A" w:rsidRPr="00C14D2A">
        <w:rPr>
          <w:lang w:eastAsia="en-AU" w:bidi="ar-SA"/>
        </w:rPr>
        <w:fldChar w:fldCharType="end"/>
      </w:r>
      <w:r>
        <w:rPr>
          <w:lang w:eastAsia="en-AU" w:bidi="ar-SA"/>
        </w:rPr>
        <w:t xml:space="preserve">. It is noted that since the food additive contains a wide range of possible mono- and diglycerides of fatty acids some of the information provided, including from the application, is on some of the general and likely families of such glycerides </w:t>
      </w:r>
      <w:r w:rsidR="00333614">
        <w:rPr>
          <w:lang w:eastAsia="en-AU" w:bidi="ar-SA"/>
        </w:rPr>
        <w:t>within</w:t>
      </w:r>
      <w:r>
        <w:rPr>
          <w:lang w:eastAsia="en-AU" w:bidi="ar-SA"/>
        </w:rPr>
        <w:t xml:space="preserve"> the food additive.</w:t>
      </w:r>
    </w:p>
    <w:p w14:paraId="777AFA1C" w14:textId="505D768C" w:rsidR="00985594" w:rsidRDefault="00985594" w:rsidP="00961B2C">
      <w:pPr>
        <w:rPr>
          <w:lang w:eastAsia="en-AU" w:bidi="ar-SA"/>
        </w:rPr>
      </w:pPr>
    </w:p>
    <w:p w14:paraId="47DCC3A9" w14:textId="6388F27A" w:rsidR="009A6606" w:rsidRPr="00E06311" w:rsidRDefault="00C14D2A" w:rsidP="005F4FEF">
      <w:pPr>
        <w:pStyle w:val="Caption"/>
        <w:keepNext/>
        <w:ind w:left="1134" w:hanging="1134"/>
        <w:rPr>
          <w:color w:val="auto"/>
          <w:lang w:eastAsia="en-AU"/>
        </w:rPr>
      </w:pPr>
      <w:bookmarkStart w:id="21" w:name="_Ref45878112"/>
      <w:r w:rsidRPr="001C6242">
        <w:rPr>
          <w:b/>
          <w:color w:val="auto"/>
          <w:sz w:val="22"/>
          <w:szCs w:val="22"/>
        </w:rPr>
        <w:t xml:space="preserve">Table </w:t>
      </w:r>
      <w:r w:rsidR="006B2A3A">
        <w:rPr>
          <w:b/>
          <w:color w:val="auto"/>
          <w:sz w:val="22"/>
          <w:szCs w:val="22"/>
        </w:rPr>
        <w:fldChar w:fldCharType="begin"/>
      </w:r>
      <w:r w:rsidR="006B2A3A">
        <w:rPr>
          <w:b/>
          <w:color w:val="auto"/>
          <w:sz w:val="22"/>
          <w:szCs w:val="22"/>
        </w:rPr>
        <w:instrText xml:space="preserve"> SEQ Table \* ARABIC </w:instrText>
      </w:r>
      <w:r w:rsidR="006B2A3A">
        <w:rPr>
          <w:b/>
          <w:color w:val="auto"/>
          <w:sz w:val="22"/>
          <w:szCs w:val="22"/>
        </w:rPr>
        <w:fldChar w:fldCharType="separate"/>
      </w:r>
      <w:r w:rsidR="00515ADA">
        <w:rPr>
          <w:b/>
          <w:noProof/>
          <w:color w:val="auto"/>
          <w:sz w:val="22"/>
          <w:szCs w:val="22"/>
        </w:rPr>
        <w:t>1</w:t>
      </w:r>
      <w:r w:rsidR="006B2A3A">
        <w:rPr>
          <w:b/>
          <w:color w:val="auto"/>
          <w:sz w:val="22"/>
          <w:szCs w:val="22"/>
        </w:rPr>
        <w:fldChar w:fldCharType="end"/>
      </w:r>
      <w:bookmarkEnd w:id="21"/>
      <w:r w:rsidRPr="001C6242">
        <w:rPr>
          <w:b/>
          <w:color w:val="auto"/>
          <w:sz w:val="22"/>
          <w:szCs w:val="22"/>
        </w:rPr>
        <w:tab/>
      </w:r>
      <w:r w:rsidR="009A6606" w:rsidRPr="001C6242">
        <w:rPr>
          <w:color w:val="auto"/>
          <w:sz w:val="22"/>
          <w:szCs w:val="22"/>
          <w:lang w:eastAsia="en-AU"/>
        </w:rPr>
        <w:t>Identity of the food additive, mono- and diglycerides of fatty acids and possible general families of mono- and diglycerides in the preparation</w:t>
      </w:r>
    </w:p>
    <w:tbl>
      <w:tblPr>
        <w:tblStyle w:val="TableGrid"/>
        <w:tblW w:w="0" w:type="auto"/>
        <w:tblLook w:val="04A0" w:firstRow="1" w:lastRow="0" w:firstColumn="1" w:lastColumn="0" w:noHBand="0" w:noVBand="1"/>
        <w:tblDescription w:val="Includes alternative names, INS number and names and CAS numbers for examples of families of mono-iglycerides within the food additive"/>
      </w:tblPr>
      <w:tblGrid>
        <w:gridCol w:w="4530"/>
        <w:gridCol w:w="4530"/>
      </w:tblGrid>
      <w:tr w:rsidR="009A6606" w:rsidRPr="009A6606" w14:paraId="2E9A6620" w14:textId="77777777" w:rsidTr="005F4FEF">
        <w:trPr>
          <w:tblHeader/>
        </w:trPr>
        <w:tc>
          <w:tcPr>
            <w:tcW w:w="4530" w:type="dxa"/>
          </w:tcPr>
          <w:p w14:paraId="49FCA1CE" w14:textId="5BB40C85" w:rsidR="009A6606" w:rsidRPr="009E651B" w:rsidRDefault="00AD781D" w:rsidP="009A6606">
            <w:pPr>
              <w:pStyle w:val="FSTableText"/>
              <w:rPr>
                <w:b/>
              </w:rPr>
            </w:pPr>
            <w:r w:rsidRPr="009E651B">
              <w:rPr>
                <w:b/>
              </w:rPr>
              <w:t>Common name</w:t>
            </w:r>
          </w:p>
        </w:tc>
        <w:tc>
          <w:tcPr>
            <w:tcW w:w="4530" w:type="dxa"/>
          </w:tcPr>
          <w:p w14:paraId="7BD82899" w14:textId="4982B606" w:rsidR="009A6606" w:rsidRPr="009E651B" w:rsidRDefault="00721624" w:rsidP="009A6606">
            <w:pPr>
              <w:pStyle w:val="FSTableText"/>
              <w:rPr>
                <w:b/>
              </w:rPr>
            </w:pPr>
            <w:r w:rsidRPr="009E651B">
              <w:rPr>
                <w:b/>
              </w:rPr>
              <w:t>Mono- and diglycerides of fatty acids</w:t>
            </w:r>
          </w:p>
        </w:tc>
      </w:tr>
      <w:tr w:rsidR="009A6606" w:rsidRPr="009A6606" w14:paraId="1720EA15" w14:textId="77777777" w:rsidTr="009A6606">
        <w:tc>
          <w:tcPr>
            <w:tcW w:w="4530" w:type="dxa"/>
          </w:tcPr>
          <w:p w14:paraId="744CACDE" w14:textId="5CADA5F4" w:rsidR="00AD781D" w:rsidRPr="009E651B" w:rsidRDefault="00AD781D" w:rsidP="00AD781D">
            <w:pPr>
              <w:pStyle w:val="FSTableText"/>
              <w:rPr>
                <w:sz w:val="18"/>
                <w:szCs w:val="18"/>
              </w:rPr>
            </w:pPr>
            <w:r w:rsidRPr="009E651B">
              <w:rPr>
                <w:sz w:val="18"/>
                <w:szCs w:val="18"/>
              </w:rPr>
              <w:t>Alternative names</w:t>
            </w:r>
          </w:p>
        </w:tc>
        <w:tc>
          <w:tcPr>
            <w:tcW w:w="4530" w:type="dxa"/>
          </w:tcPr>
          <w:p w14:paraId="3C90B949" w14:textId="6CCE5DE7" w:rsidR="009A6606" w:rsidRPr="009E651B" w:rsidRDefault="00721624" w:rsidP="00721624">
            <w:pPr>
              <w:pStyle w:val="FSTableText"/>
              <w:rPr>
                <w:sz w:val="18"/>
                <w:szCs w:val="18"/>
              </w:rPr>
            </w:pPr>
            <w:r w:rsidRPr="009E651B">
              <w:rPr>
                <w:sz w:val="18"/>
                <w:szCs w:val="18"/>
              </w:rPr>
              <w:t xml:space="preserve">glycerolipids; glycerol esters of fatty acids; names of examples of specific glycerides: glyceryl monostearate, glyceryl monopalmitate, glyceryl monooleate; examples of alternate names for specific glycerides: monostearin, monopalmitin, monoolein, </w:t>
            </w:r>
          </w:p>
        </w:tc>
      </w:tr>
      <w:tr w:rsidR="009A6606" w:rsidRPr="009A6606" w14:paraId="317D1ED0" w14:textId="77777777" w:rsidTr="009A6606">
        <w:tc>
          <w:tcPr>
            <w:tcW w:w="4530" w:type="dxa"/>
          </w:tcPr>
          <w:p w14:paraId="64C0E2D2" w14:textId="22C26EF8" w:rsidR="009A6606" w:rsidRPr="009E651B" w:rsidRDefault="00721624" w:rsidP="009A6606">
            <w:pPr>
              <w:pStyle w:val="FSTableText"/>
              <w:rPr>
                <w:sz w:val="18"/>
                <w:szCs w:val="18"/>
              </w:rPr>
            </w:pPr>
            <w:r w:rsidRPr="009E651B">
              <w:rPr>
                <w:sz w:val="18"/>
                <w:szCs w:val="18"/>
              </w:rPr>
              <w:t>INS number</w:t>
            </w:r>
          </w:p>
        </w:tc>
        <w:tc>
          <w:tcPr>
            <w:tcW w:w="4530" w:type="dxa"/>
          </w:tcPr>
          <w:p w14:paraId="56CA7F29" w14:textId="004A06D0" w:rsidR="009A6606" w:rsidRPr="009E651B" w:rsidRDefault="00721624" w:rsidP="009A6606">
            <w:pPr>
              <w:pStyle w:val="FSTableText"/>
              <w:rPr>
                <w:sz w:val="18"/>
                <w:szCs w:val="18"/>
              </w:rPr>
            </w:pPr>
            <w:r w:rsidRPr="009E651B">
              <w:rPr>
                <w:sz w:val="18"/>
                <w:szCs w:val="18"/>
              </w:rPr>
              <w:t>471</w:t>
            </w:r>
          </w:p>
        </w:tc>
      </w:tr>
      <w:tr w:rsidR="00721624" w:rsidRPr="009A6606" w14:paraId="0CCC1818" w14:textId="77777777" w:rsidTr="005C6008">
        <w:tc>
          <w:tcPr>
            <w:tcW w:w="9060" w:type="dxa"/>
            <w:gridSpan w:val="2"/>
          </w:tcPr>
          <w:p w14:paraId="2CE94A17" w14:textId="77777777" w:rsidR="00721624" w:rsidRPr="009E651B" w:rsidRDefault="00721624" w:rsidP="009A6606">
            <w:pPr>
              <w:pStyle w:val="FSTableText"/>
              <w:rPr>
                <w:sz w:val="18"/>
                <w:szCs w:val="18"/>
              </w:rPr>
            </w:pPr>
          </w:p>
        </w:tc>
      </w:tr>
      <w:tr w:rsidR="00721624" w:rsidRPr="009A6606" w14:paraId="2D4D8C5E" w14:textId="77777777" w:rsidTr="005C6008">
        <w:tc>
          <w:tcPr>
            <w:tcW w:w="9060" w:type="dxa"/>
            <w:gridSpan w:val="2"/>
          </w:tcPr>
          <w:p w14:paraId="1D85B3C0" w14:textId="7685ADDD" w:rsidR="00721624" w:rsidRPr="009E651B" w:rsidRDefault="00721624" w:rsidP="009A6606">
            <w:pPr>
              <w:pStyle w:val="FSTableText"/>
              <w:rPr>
                <w:sz w:val="18"/>
                <w:szCs w:val="18"/>
              </w:rPr>
            </w:pPr>
            <w:r w:rsidRPr="009E651B">
              <w:rPr>
                <w:sz w:val="18"/>
                <w:szCs w:val="18"/>
              </w:rPr>
              <w:t>Examples of general families of mono- and diglycerides with their CAS</w:t>
            </w:r>
            <w:r w:rsidRPr="009E651B">
              <w:rPr>
                <w:rStyle w:val="FootnoteReference"/>
                <w:sz w:val="18"/>
                <w:szCs w:val="18"/>
              </w:rPr>
              <w:footnoteReference w:id="2"/>
            </w:r>
            <w:r w:rsidRPr="009E651B">
              <w:rPr>
                <w:sz w:val="18"/>
                <w:szCs w:val="18"/>
              </w:rPr>
              <w:t xml:space="preserve"> numbers</w:t>
            </w:r>
          </w:p>
        </w:tc>
      </w:tr>
      <w:tr w:rsidR="00721624" w:rsidRPr="009A6606" w14:paraId="1876EA88" w14:textId="77777777" w:rsidTr="005C6008">
        <w:tc>
          <w:tcPr>
            <w:tcW w:w="9060" w:type="dxa"/>
            <w:gridSpan w:val="2"/>
          </w:tcPr>
          <w:p w14:paraId="5DFB9B05" w14:textId="77777777" w:rsidR="00721624" w:rsidRPr="009E651B" w:rsidRDefault="00721624" w:rsidP="009A6606">
            <w:pPr>
              <w:pStyle w:val="FSTableText"/>
              <w:rPr>
                <w:sz w:val="18"/>
                <w:szCs w:val="18"/>
              </w:rPr>
            </w:pPr>
          </w:p>
        </w:tc>
      </w:tr>
      <w:tr w:rsidR="009A6606" w:rsidRPr="009A6606" w14:paraId="42F6CD95" w14:textId="77777777" w:rsidTr="009A6606">
        <w:tc>
          <w:tcPr>
            <w:tcW w:w="4530" w:type="dxa"/>
          </w:tcPr>
          <w:p w14:paraId="130EADCB" w14:textId="09CF3F4D" w:rsidR="009A6606" w:rsidRPr="009E651B" w:rsidRDefault="00721624" w:rsidP="009A6606">
            <w:pPr>
              <w:pStyle w:val="FSTableText"/>
              <w:rPr>
                <w:sz w:val="18"/>
                <w:szCs w:val="18"/>
              </w:rPr>
            </w:pPr>
            <w:r w:rsidRPr="009E651B">
              <w:rPr>
                <w:sz w:val="18"/>
                <w:szCs w:val="18"/>
              </w:rPr>
              <w:t>C14</w:t>
            </w:r>
            <w:r w:rsidRPr="009E651B">
              <w:rPr>
                <w:rFonts w:hint="eastAsia"/>
                <w:sz w:val="18"/>
                <w:szCs w:val="18"/>
              </w:rPr>
              <w:t>–</w:t>
            </w:r>
            <w:r w:rsidRPr="009E651B">
              <w:rPr>
                <w:sz w:val="18"/>
                <w:szCs w:val="18"/>
              </w:rPr>
              <w:t>18, mono- and diglycerides, saturated</w:t>
            </w:r>
          </w:p>
        </w:tc>
        <w:tc>
          <w:tcPr>
            <w:tcW w:w="4530" w:type="dxa"/>
          </w:tcPr>
          <w:p w14:paraId="352E0EB4" w14:textId="3293B685" w:rsidR="009A6606" w:rsidRPr="009E651B" w:rsidRDefault="00721624" w:rsidP="009A6606">
            <w:pPr>
              <w:pStyle w:val="FSTableText"/>
              <w:rPr>
                <w:sz w:val="18"/>
                <w:szCs w:val="18"/>
              </w:rPr>
            </w:pPr>
            <w:r w:rsidRPr="009E651B">
              <w:rPr>
                <w:sz w:val="18"/>
                <w:szCs w:val="18"/>
              </w:rPr>
              <w:t>67701-33-1</w:t>
            </w:r>
          </w:p>
        </w:tc>
      </w:tr>
      <w:tr w:rsidR="009A6606" w:rsidRPr="009A6606" w14:paraId="49D746EE" w14:textId="77777777" w:rsidTr="009A6606">
        <w:tc>
          <w:tcPr>
            <w:tcW w:w="4530" w:type="dxa"/>
          </w:tcPr>
          <w:p w14:paraId="11399DD4" w14:textId="57C2C8CE" w:rsidR="009A6606" w:rsidRPr="009E651B" w:rsidRDefault="00721624" w:rsidP="009A6606">
            <w:pPr>
              <w:pStyle w:val="FSTableText"/>
              <w:rPr>
                <w:sz w:val="18"/>
                <w:szCs w:val="18"/>
              </w:rPr>
            </w:pPr>
            <w:r w:rsidRPr="009E651B">
              <w:rPr>
                <w:sz w:val="18"/>
                <w:szCs w:val="18"/>
              </w:rPr>
              <w:t>C14</w:t>
            </w:r>
            <w:r w:rsidRPr="009E651B">
              <w:rPr>
                <w:rFonts w:hint="eastAsia"/>
                <w:sz w:val="18"/>
                <w:szCs w:val="18"/>
              </w:rPr>
              <w:t>–</w:t>
            </w:r>
            <w:r w:rsidRPr="009E651B">
              <w:rPr>
                <w:sz w:val="18"/>
                <w:szCs w:val="18"/>
              </w:rPr>
              <w:t>22, monoglycerides, saturated</w:t>
            </w:r>
          </w:p>
        </w:tc>
        <w:tc>
          <w:tcPr>
            <w:tcW w:w="4530" w:type="dxa"/>
          </w:tcPr>
          <w:p w14:paraId="6A68998B" w14:textId="35B86665" w:rsidR="009A6606" w:rsidRPr="009E651B" w:rsidRDefault="00721624" w:rsidP="009A6606">
            <w:pPr>
              <w:pStyle w:val="FSTableText"/>
              <w:rPr>
                <w:sz w:val="18"/>
                <w:szCs w:val="18"/>
              </w:rPr>
            </w:pPr>
            <w:r w:rsidRPr="009E651B">
              <w:rPr>
                <w:sz w:val="18"/>
                <w:szCs w:val="18"/>
              </w:rPr>
              <w:t>68990-53-4</w:t>
            </w:r>
          </w:p>
        </w:tc>
      </w:tr>
      <w:tr w:rsidR="00721624" w:rsidRPr="009A6606" w14:paraId="0BFA5969" w14:textId="77777777" w:rsidTr="009A6606">
        <w:tc>
          <w:tcPr>
            <w:tcW w:w="4530" w:type="dxa"/>
          </w:tcPr>
          <w:p w14:paraId="330182F8" w14:textId="296A11AD" w:rsidR="00721624" w:rsidRPr="009E651B" w:rsidRDefault="00721624" w:rsidP="009A6606">
            <w:pPr>
              <w:pStyle w:val="FSTableText"/>
              <w:rPr>
                <w:sz w:val="18"/>
                <w:szCs w:val="18"/>
              </w:rPr>
            </w:pPr>
            <w:r w:rsidRPr="009E651B">
              <w:rPr>
                <w:sz w:val="18"/>
                <w:szCs w:val="18"/>
              </w:rPr>
              <w:t>C16</w:t>
            </w:r>
            <w:r w:rsidRPr="009E651B">
              <w:rPr>
                <w:rFonts w:hint="eastAsia"/>
                <w:sz w:val="18"/>
                <w:szCs w:val="18"/>
              </w:rPr>
              <w:t>–</w:t>
            </w:r>
            <w:r w:rsidRPr="009E651B">
              <w:rPr>
                <w:sz w:val="18"/>
                <w:szCs w:val="18"/>
              </w:rPr>
              <w:t>18, mono- and diglycerides, saturated</w:t>
            </w:r>
          </w:p>
        </w:tc>
        <w:tc>
          <w:tcPr>
            <w:tcW w:w="4530" w:type="dxa"/>
          </w:tcPr>
          <w:p w14:paraId="5C0A2355" w14:textId="5993FEBB" w:rsidR="00721624" w:rsidRPr="009E651B" w:rsidRDefault="00721624" w:rsidP="009A6606">
            <w:pPr>
              <w:pStyle w:val="FSTableText"/>
              <w:rPr>
                <w:sz w:val="18"/>
                <w:szCs w:val="18"/>
              </w:rPr>
            </w:pPr>
            <w:r w:rsidRPr="009E651B">
              <w:rPr>
                <w:sz w:val="18"/>
                <w:szCs w:val="18"/>
              </w:rPr>
              <w:t>85251-77-0</w:t>
            </w:r>
          </w:p>
        </w:tc>
      </w:tr>
    </w:tbl>
    <w:p w14:paraId="1A6F91AF" w14:textId="74351014" w:rsidR="009A6606" w:rsidRDefault="009A6606" w:rsidP="009A6606">
      <w:pPr>
        <w:pStyle w:val="FSTableHeading"/>
        <w:jc w:val="left"/>
        <w:rPr>
          <w:lang w:eastAsia="en-AU" w:bidi="ar-SA"/>
        </w:rPr>
      </w:pPr>
    </w:p>
    <w:p w14:paraId="2F047231" w14:textId="169EC541" w:rsidR="00961B2C" w:rsidRDefault="00961B2C" w:rsidP="00060155">
      <w:pPr>
        <w:pStyle w:val="Heading3"/>
      </w:pPr>
      <w:bookmarkStart w:id="22" w:name="_Toc42849592"/>
      <w:bookmarkStart w:id="23" w:name="_Toc46487122"/>
      <w:bookmarkStart w:id="24" w:name="_Toc58251547"/>
      <w:r>
        <w:lastRenderedPageBreak/>
        <w:t>2.1.2</w:t>
      </w:r>
      <w:r>
        <w:tab/>
      </w:r>
      <w:r w:rsidR="00964AB0">
        <w:t>C</w:t>
      </w:r>
      <w:r>
        <w:t xml:space="preserve">hemical </w:t>
      </w:r>
      <w:r w:rsidR="00964AB0">
        <w:t xml:space="preserve">and physical </w:t>
      </w:r>
      <w:r>
        <w:t>properties of the food additive</w:t>
      </w:r>
      <w:bookmarkEnd w:id="22"/>
      <w:bookmarkEnd w:id="23"/>
      <w:bookmarkEnd w:id="24"/>
    </w:p>
    <w:p w14:paraId="7EAD126B" w14:textId="3884074A" w:rsidR="00961B2C" w:rsidRDefault="001C7B60" w:rsidP="00961B2C">
      <w:pPr>
        <w:rPr>
          <w:lang w:eastAsia="en-AU" w:bidi="ar-SA"/>
        </w:rPr>
      </w:pPr>
      <w:r>
        <w:rPr>
          <w:lang w:eastAsia="en-AU" w:bidi="ar-SA"/>
        </w:rPr>
        <w:t>As would be expected of glycerides of fatty acids</w:t>
      </w:r>
      <w:r w:rsidR="00271801">
        <w:rPr>
          <w:lang w:eastAsia="en-AU" w:bidi="ar-SA"/>
        </w:rPr>
        <w:t>,</w:t>
      </w:r>
      <w:r>
        <w:rPr>
          <w:lang w:eastAsia="en-AU" w:bidi="ar-SA"/>
        </w:rPr>
        <w:t xml:space="preserve"> the food additive is not directly soluble in water. It is soluble in ethanol, chloroform and benzene. However</w:t>
      </w:r>
      <w:r w:rsidR="00271801">
        <w:rPr>
          <w:lang w:eastAsia="en-AU" w:bidi="ar-SA"/>
        </w:rPr>
        <w:t>,</w:t>
      </w:r>
      <w:r>
        <w:rPr>
          <w:lang w:eastAsia="en-AU" w:bidi="ar-SA"/>
        </w:rPr>
        <w:t xml:space="preserve"> when it is used for the proposed purpose as a glazing agent on fr</w:t>
      </w:r>
      <w:r w:rsidR="00417958">
        <w:rPr>
          <w:lang w:eastAsia="en-AU" w:bidi="ar-SA"/>
        </w:rPr>
        <w:t>esh</w:t>
      </w:r>
      <w:r>
        <w:rPr>
          <w:lang w:eastAsia="en-AU" w:bidi="ar-SA"/>
        </w:rPr>
        <w:t xml:space="preserve"> fruits and vegetables it is dispersed in water before it is applied to the surface. The applicant notes and provides experimental evidence that the food additive forms a thin film but does not react directly with the surface of the treated food, i.e. it is inert. The appearance of the food additive is stated in the JECFA specification to be w</w:t>
      </w:r>
      <w:r w:rsidRPr="001C7B60">
        <w:rPr>
          <w:lang w:eastAsia="en-AU" w:bidi="ar-SA"/>
        </w:rPr>
        <w:t>hite or cream coloured hard fats of waxy appearance, plastic products or viscous liquids</w:t>
      </w:r>
      <w:r>
        <w:rPr>
          <w:lang w:eastAsia="en-AU" w:bidi="ar-SA"/>
        </w:rPr>
        <w:t>, though for its use for the proposed purpose of the application it would need to be a liquid so it can readily be dispersed in water.</w:t>
      </w:r>
    </w:p>
    <w:p w14:paraId="7D7BB582" w14:textId="77777777" w:rsidR="003C1BAF" w:rsidRDefault="003C1BAF" w:rsidP="00961B2C">
      <w:pPr>
        <w:rPr>
          <w:lang w:eastAsia="en-AU" w:bidi="ar-SA"/>
        </w:rPr>
      </w:pPr>
    </w:p>
    <w:p w14:paraId="2C350D5D" w14:textId="7F1ACF4C" w:rsidR="0046288C" w:rsidRPr="0046288C" w:rsidRDefault="0046288C" w:rsidP="00060155">
      <w:pPr>
        <w:pStyle w:val="Heading3"/>
      </w:pPr>
      <w:bookmarkStart w:id="25" w:name="_Toc42849594"/>
      <w:bookmarkStart w:id="26" w:name="_Toc46487123"/>
      <w:bookmarkStart w:id="27" w:name="_Toc58251548"/>
      <w:r>
        <w:t>2.1.</w:t>
      </w:r>
      <w:r w:rsidR="0042199F">
        <w:t>3</w:t>
      </w:r>
      <w:r>
        <w:tab/>
        <w:t>Product specifications</w:t>
      </w:r>
      <w:bookmarkEnd w:id="25"/>
      <w:bookmarkEnd w:id="26"/>
      <w:bookmarkEnd w:id="27"/>
    </w:p>
    <w:p w14:paraId="4E165D34" w14:textId="77766540" w:rsidR="00FD54A7" w:rsidRDefault="00FD54A7" w:rsidP="00FD54A7">
      <w:pPr>
        <w:rPr>
          <w:lang w:eastAsia="en-AU" w:bidi="ar-SA"/>
        </w:rPr>
      </w:pPr>
      <w:r>
        <w:rPr>
          <w:lang w:eastAsia="en-AU" w:bidi="ar-SA"/>
        </w:rPr>
        <w:t xml:space="preserve">As indicated in </w:t>
      </w:r>
      <w:r w:rsidRPr="002A42E0">
        <w:rPr>
          <w:lang w:eastAsia="en-AU" w:bidi="ar-SA"/>
        </w:rPr>
        <w:t>section 2.1.1</w:t>
      </w:r>
      <w:r w:rsidR="00271801">
        <w:rPr>
          <w:lang w:eastAsia="en-AU" w:bidi="ar-SA"/>
        </w:rPr>
        <w:t>,</w:t>
      </w:r>
      <w:r>
        <w:rPr>
          <w:lang w:eastAsia="en-AU" w:bidi="ar-SA"/>
        </w:rPr>
        <w:t xml:space="preserve"> the food additive has been permitted for use as a GMP food additive in the Code for many years as well as around the world. It therefore has specifications of identity and purity in many international sources of food additive specifications. </w:t>
      </w:r>
      <w:r w:rsidR="00271801">
        <w:rPr>
          <w:lang w:eastAsia="en-AU" w:bidi="ar-SA"/>
        </w:rPr>
        <w:t xml:space="preserve">In </w:t>
      </w:r>
      <w:r>
        <w:rPr>
          <w:lang w:eastAsia="en-AU" w:bidi="ar-SA"/>
        </w:rPr>
        <w:t>the Code</w:t>
      </w:r>
      <w:r w:rsidR="00271801">
        <w:rPr>
          <w:lang w:eastAsia="en-AU" w:bidi="ar-SA"/>
        </w:rPr>
        <w:t>,</w:t>
      </w:r>
      <w:r>
        <w:rPr>
          <w:lang w:eastAsia="en-AU" w:bidi="ar-SA"/>
        </w:rPr>
        <w:t xml:space="preserve"> primary sources of specifications</w:t>
      </w:r>
      <w:r w:rsidR="00271801">
        <w:rPr>
          <w:lang w:eastAsia="en-AU" w:bidi="ar-SA"/>
        </w:rPr>
        <w:t>,</w:t>
      </w:r>
      <w:r>
        <w:rPr>
          <w:lang w:eastAsia="en-AU" w:bidi="ar-SA"/>
        </w:rPr>
        <w:t xml:space="preserve"> which </w:t>
      </w:r>
      <w:r w:rsidR="00271801">
        <w:rPr>
          <w:lang w:eastAsia="en-AU" w:bidi="ar-SA"/>
        </w:rPr>
        <w:t>cover</w:t>
      </w:r>
      <w:r>
        <w:rPr>
          <w:lang w:eastAsia="en-AU" w:bidi="ar-SA"/>
        </w:rPr>
        <w:t xml:space="preserve"> the food additive are listed in section S3—2, being the Combined Compendium of JECFA food additive specifications (JECFA 2017) (para S3—2(1)(b)), Food Chemicals Codex (U</w:t>
      </w:r>
      <w:r w:rsidR="005C7CCD">
        <w:rPr>
          <w:lang w:eastAsia="en-AU" w:bidi="ar-SA"/>
        </w:rPr>
        <w:t xml:space="preserve">nited </w:t>
      </w:r>
      <w:r>
        <w:rPr>
          <w:lang w:eastAsia="en-AU" w:bidi="ar-SA"/>
        </w:rPr>
        <w:t>S</w:t>
      </w:r>
      <w:r w:rsidR="005C7CCD">
        <w:rPr>
          <w:lang w:eastAsia="en-AU" w:bidi="ar-SA"/>
        </w:rPr>
        <w:t>tates</w:t>
      </w:r>
      <w:r>
        <w:rPr>
          <w:lang w:eastAsia="en-AU" w:bidi="ar-SA"/>
        </w:rPr>
        <w:t xml:space="preserve"> Pharmacopeia 2018) (para S3—2(1)(c) and the EU Commission Regulation No 231/2012 (EU Commission Regulation 2012) (para S3—1(b)(d)). The relevant JECFA and Food Chemicals Codex specifications are contained as appendices in the application. The applicant’s food additive meets the requirements of these two monographs, with data of three non-consecutive samples provided. An assessment confirmed that these data also complied with the EU Commission food additive specification regulation.</w:t>
      </w:r>
      <w:r w:rsidRPr="00F95489">
        <w:rPr>
          <w:lang w:eastAsia="en-AU" w:bidi="ar-SA"/>
        </w:rPr>
        <w:t xml:space="preserve"> </w:t>
      </w:r>
      <w:r>
        <w:rPr>
          <w:lang w:eastAsia="en-AU" w:bidi="ar-SA"/>
        </w:rPr>
        <w:t xml:space="preserve">These results are summarised in </w:t>
      </w:r>
      <w:r w:rsidR="00D71588" w:rsidRPr="00D71588">
        <w:rPr>
          <w:lang w:eastAsia="en-AU" w:bidi="ar-SA"/>
        </w:rPr>
        <w:fldChar w:fldCharType="begin"/>
      </w:r>
      <w:r w:rsidR="00D71588" w:rsidRPr="00D71588">
        <w:rPr>
          <w:lang w:eastAsia="en-AU" w:bidi="ar-SA"/>
        </w:rPr>
        <w:instrText xml:space="preserve"> REF _Ref45878768 \h </w:instrText>
      </w:r>
      <w:r w:rsidR="00D71588" w:rsidRPr="001C6242">
        <w:rPr>
          <w:lang w:eastAsia="en-AU" w:bidi="ar-SA"/>
        </w:rPr>
        <w:instrText xml:space="preserve"> \* MERGEFORMAT </w:instrText>
      </w:r>
      <w:r w:rsidR="00D71588" w:rsidRPr="00D71588">
        <w:rPr>
          <w:lang w:eastAsia="en-AU" w:bidi="ar-SA"/>
        </w:rPr>
      </w:r>
      <w:r w:rsidR="00D71588" w:rsidRPr="00D71588">
        <w:rPr>
          <w:lang w:eastAsia="en-AU" w:bidi="ar-SA"/>
        </w:rPr>
        <w:fldChar w:fldCharType="separate"/>
      </w:r>
      <w:r w:rsidR="00515ADA" w:rsidRPr="00515ADA">
        <w:rPr>
          <w:szCs w:val="22"/>
        </w:rPr>
        <w:t xml:space="preserve">Table </w:t>
      </w:r>
      <w:r w:rsidR="00515ADA" w:rsidRPr="00515ADA">
        <w:rPr>
          <w:noProof/>
          <w:szCs w:val="22"/>
        </w:rPr>
        <w:t>2</w:t>
      </w:r>
      <w:r w:rsidR="00D71588" w:rsidRPr="00D71588">
        <w:rPr>
          <w:lang w:eastAsia="en-AU" w:bidi="ar-SA"/>
        </w:rPr>
        <w:fldChar w:fldCharType="end"/>
      </w:r>
      <w:r>
        <w:rPr>
          <w:lang w:eastAsia="en-AU" w:bidi="ar-SA"/>
        </w:rPr>
        <w:t>.</w:t>
      </w:r>
    </w:p>
    <w:p w14:paraId="4B027E10" w14:textId="4607080E" w:rsidR="00FD54A7" w:rsidRDefault="00FD54A7" w:rsidP="00FD54A7">
      <w:pPr>
        <w:rPr>
          <w:lang w:eastAsia="en-AU" w:bidi="ar-SA"/>
        </w:rPr>
      </w:pPr>
    </w:p>
    <w:p w14:paraId="39AB146A" w14:textId="76B1CC27" w:rsidR="00FD54A7" w:rsidRPr="00E06311" w:rsidRDefault="00D71588" w:rsidP="001C6242">
      <w:pPr>
        <w:pStyle w:val="Caption"/>
        <w:keepNext/>
        <w:ind w:left="1134" w:hanging="1134"/>
        <w:rPr>
          <w:color w:val="auto"/>
        </w:rPr>
      </w:pPr>
      <w:bookmarkStart w:id="28" w:name="_Ref45878768"/>
      <w:r w:rsidRPr="00F3529A">
        <w:rPr>
          <w:b/>
          <w:color w:val="auto"/>
          <w:sz w:val="22"/>
          <w:szCs w:val="22"/>
        </w:rPr>
        <w:t xml:space="preserve">Table </w:t>
      </w:r>
      <w:r w:rsidR="006B2A3A">
        <w:rPr>
          <w:b/>
          <w:color w:val="auto"/>
          <w:sz w:val="22"/>
          <w:szCs w:val="22"/>
        </w:rPr>
        <w:fldChar w:fldCharType="begin"/>
      </w:r>
      <w:r w:rsidR="006B2A3A">
        <w:rPr>
          <w:b/>
          <w:color w:val="auto"/>
          <w:sz w:val="22"/>
          <w:szCs w:val="22"/>
        </w:rPr>
        <w:instrText xml:space="preserve"> SEQ Table \* ARABIC </w:instrText>
      </w:r>
      <w:r w:rsidR="006B2A3A">
        <w:rPr>
          <w:b/>
          <w:color w:val="auto"/>
          <w:sz w:val="22"/>
          <w:szCs w:val="22"/>
        </w:rPr>
        <w:fldChar w:fldCharType="separate"/>
      </w:r>
      <w:r w:rsidR="00515ADA">
        <w:rPr>
          <w:b/>
          <w:noProof/>
          <w:color w:val="auto"/>
          <w:sz w:val="22"/>
          <w:szCs w:val="22"/>
        </w:rPr>
        <w:t>2</w:t>
      </w:r>
      <w:r w:rsidR="006B2A3A">
        <w:rPr>
          <w:b/>
          <w:color w:val="auto"/>
          <w:sz w:val="22"/>
          <w:szCs w:val="22"/>
        </w:rPr>
        <w:fldChar w:fldCharType="end"/>
      </w:r>
      <w:bookmarkEnd w:id="28"/>
      <w:r w:rsidRPr="001C6242">
        <w:rPr>
          <w:sz w:val="22"/>
          <w:szCs w:val="22"/>
        </w:rPr>
        <w:tab/>
      </w:r>
      <w:r w:rsidR="00FD54A7" w:rsidRPr="001C6242">
        <w:rPr>
          <w:color w:val="auto"/>
          <w:sz w:val="22"/>
          <w:szCs w:val="22"/>
          <w:lang w:eastAsia="en-AU"/>
        </w:rPr>
        <w:t>Results of three non-consecutive samples of the food additive compared to specification requirements for JECFA, Food Chemicals Codex and EU Commission regulations</w:t>
      </w:r>
    </w:p>
    <w:tbl>
      <w:tblPr>
        <w:tblStyle w:val="TableGrid"/>
        <w:tblW w:w="9351" w:type="dxa"/>
        <w:tblLook w:val="04A0" w:firstRow="1" w:lastRow="0" w:firstColumn="1" w:lastColumn="0" w:noHBand="0" w:noVBand="1"/>
        <w:tblDescription w:val="Analytical results for parameters, being alpha monoglycerides, free glycerol, water content, acid value, sulphated ash, soap (as sodium oleate), lead, arsenic, cadmium and mercury"/>
      </w:tblPr>
      <w:tblGrid>
        <w:gridCol w:w="3517"/>
        <w:gridCol w:w="873"/>
        <w:gridCol w:w="850"/>
        <w:gridCol w:w="841"/>
        <w:gridCol w:w="3270"/>
      </w:tblGrid>
      <w:tr w:rsidR="00FD54A7" w14:paraId="3E87EDB2" w14:textId="77777777" w:rsidTr="005F4FEF">
        <w:trPr>
          <w:tblHeader/>
        </w:trPr>
        <w:tc>
          <w:tcPr>
            <w:tcW w:w="3517" w:type="dxa"/>
          </w:tcPr>
          <w:p w14:paraId="3710C475" w14:textId="77777777" w:rsidR="00FD54A7" w:rsidRDefault="00FD54A7" w:rsidP="009E651B">
            <w:pPr>
              <w:pStyle w:val="FSTableColumnRowheading"/>
              <w:keepNext/>
              <w:rPr>
                <w:lang w:eastAsia="en-AU"/>
              </w:rPr>
            </w:pPr>
            <w:r>
              <w:rPr>
                <w:lang w:eastAsia="en-AU"/>
              </w:rPr>
              <w:t>Parameter</w:t>
            </w:r>
          </w:p>
        </w:tc>
        <w:tc>
          <w:tcPr>
            <w:tcW w:w="873" w:type="dxa"/>
          </w:tcPr>
          <w:p w14:paraId="194D87F6" w14:textId="77777777" w:rsidR="00FD54A7" w:rsidRDefault="00FD54A7" w:rsidP="009E651B">
            <w:pPr>
              <w:pStyle w:val="FSTableColumnRowheading"/>
              <w:keepNext/>
              <w:rPr>
                <w:lang w:eastAsia="en-AU"/>
              </w:rPr>
            </w:pPr>
            <w:r>
              <w:rPr>
                <w:lang w:eastAsia="en-AU"/>
              </w:rPr>
              <w:t>JECFA</w:t>
            </w:r>
          </w:p>
        </w:tc>
        <w:tc>
          <w:tcPr>
            <w:tcW w:w="850" w:type="dxa"/>
          </w:tcPr>
          <w:p w14:paraId="4E659878" w14:textId="6028B6BA" w:rsidR="00FD54A7" w:rsidRPr="00A1697F" w:rsidRDefault="00FD54A7" w:rsidP="00417958">
            <w:pPr>
              <w:pStyle w:val="FSTableColumnRowheading"/>
              <w:keepNext/>
              <w:rPr>
                <w:vertAlign w:val="superscript"/>
                <w:lang w:eastAsia="en-AU"/>
              </w:rPr>
            </w:pPr>
            <w:r>
              <w:rPr>
                <w:lang w:eastAsia="en-AU"/>
              </w:rPr>
              <w:t>FCC</w:t>
            </w:r>
            <w:r w:rsidR="00417958">
              <w:rPr>
                <w:vertAlign w:val="superscript"/>
                <w:lang w:eastAsia="en-AU"/>
              </w:rPr>
              <w:t>a</w:t>
            </w:r>
          </w:p>
        </w:tc>
        <w:tc>
          <w:tcPr>
            <w:tcW w:w="841" w:type="dxa"/>
          </w:tcPr>
          <w:p w14:paraId="2A9724F6" w14:textId="77A90745" w:rsidR="00FD54A7" w:rsidRPr="00A1697F" w:rsidRDefault="00FD54A7" w:rsidP="00417958">
            <w:pPr>
              <w:pStyle w:val="FSTableColumnRowheading"/>
              <w:keepNext/>
              <w:rPr>
                <w:vertAlign w:val="superscript"/>
                <w:lang w:eastAsia="en-AU"/>
              </w:rPr>
            </w:pPr>
            <w:r>
              <w:rPr>
                <w:lang w:eastAsia="en-AU"/>
              </w:rPr>
              <w:t>EU Regs</w:t>
            </w:r>
            <w:r w:rsidR="00417958">
              <w:rPr>
                <w:vertAlign w:val="superscript"/>
                <w:lang w:eastAsia="en-AU"/>
              </w:rPr>
              <w:t>b</w:t>
            </w:r>
          </w:p>
        </w:tc>
        <w:tc>
          <w:tcPr>
            <w:tcW w:w="3270" w:type="dxa"/>
          </w:tcPr>
          <w:p w14:paraId="0371C464" w14:textId="77777777" w:rsidR="00FD54A7" w:rsidRDefault="00FD54A7" w:rsidP="009E651B">
            <w:pPr>
              <w:pStyle w:val="FSTableColumnRowheading"/>
              <w:keepNext/>
              <w:rPr>
                <w:lang w:eastAsia="en-AU"/>
              </w:rPr>
            </w:pPr>
            <w:r>
              <w:rPr>
                <w:lang w:eastAsia="en-AU"/>
              </w:rPr>
              <w:t>Results</w:t>
            </w:r>
          </w:p>
        </w:tc>
      </w:tr>
      <w:tr w:rsidR="00FD54A7" w:rsidRPr="00D61755" w14:paraId="2C350C08" w14:textId="77777777" w:rsidTr="00CA09DF">
        <w:tc>
          <w:tcPr>
            <w:tcW w:w="3517" w:type="dxa"/>
          </w:tcPr>
          <w:p w14:paraId="7FB6966F" w14:textId="77777777" w:rsidR="00FD54A7" w:rsidRPr="00D61755" w:rsidRDefault="00FD54A7" w:rsidP="009E651B">
            <w:pPr>
              <w:keepNext/>
              <w:widowControl/>
              <w:rPr>
                <w:sz w:val="20"/>
                <w:szCs w:val="20"/>
                <w:lang w:eastAsia="en-AU" w:bidi="ar-SA"/>
              </w:rPr>
            </w:pPr>
            <w:r w:rsidRPr="00D61755">
              <w:rPr>
                <w:sz w:val="20"/>
                <w:szCs w:val="20"/>
                <w:lang w:eastAsia="en-AU" w:bidi="ar-SA"/>
              </w:rPr>
              <w:t>Alpha monoglycerides % w/w</w:t>
            </w:r>
          </w:p>
        </w:tc>
        <w:tc>
          <w:tcPr>
            <w:tcW w:w="873" w:type="dxa"/>
          </w:tcPr>
          <w:p w14:paraId="1AB61930" w14:textId="77777777" w:rsidR="00FD54A7" w:rsidRPr="00D61755" w:rsidRDefault="00FD54A7" w:rsidP="009E651B">
            <w:pPr>
              <w:keepNext/>
              <w:widowControl/>
              <w:rPr>
                <w:sz w:val="20"/>
                <w:szCs w:val="20"/>
                <w:lang w:eastAsia="en-AU" w:bidi="ar-SA"/>
              </w:rPr>
            </w:pPr>
            <w:r w:rsidRPr="00D61755">
              <w:rPr>
                <w:rFonts w:cs="Arial"/>
                <w:sz w:val="20"/>
                <w:szCs w:val="20"/>
                <w:lang w:eastAsia="en-AU" w:bidi="ar-SA"/>
              </w:rPr>
              <w:t>≥</w:t>
            </w:r>
            <w:r w:rsidRPr="00D61755">
              <w:rPr>
                <w:sz w:val="20"/>
                <w:szCs w:val="20"/>
                <w:lang w:eastAsia="en-AU" w:bidi="ar-SA"/>
              </w:rPr>
              <w:t xml:space="preserve"> 30</w:t>
            </w:r>
          </w:p>
        </w:tc>
        <w:tc>
          <w:tcPr>
            <w:tcW w:w="850" w:type="dxa"/>
          </w:tcPr>
          <w:p w14:paraId="56F0F976" w14:textId="77777777" w:rsidR="00FD54A7" w:rsidRPr="00D61755" w:rsidRDefault="00FD54A7" w:rsidP="009E651B">
            <w:pPr>
              <w:keepNext/>
              <w:widowControl/>
              <w:rPr>
                <w:sz w:val="20"/>
                <w:szCs w:val="20"/>
                <w:lang w:eastAsia="en-AU" w:bidi="ar-SA"/>
              </w:rPr>
            </w:pPr>
            <w:r w:rsidRPr="00D61755">
              <w:rPr>
                <w:sz w:val="20"/>
                <w:szCs w:val="20"/>
                <w:lang w:eastAsia="en-AU" w:bidi="ar-SA"/>
              </w:rPr>
              <w:t>-</w:t>
            </w:r>
          </w:p>
        </w:tc>
        <w:tc>
          <w:tcPr>
            <w:tcW w:w="841" w:type="dxa"/>
          </w:tcPr>
          <w:p w14:paraId="759F1874" w14:textId="77777777" w:rsidR="00FD54A7" w:rsidRPr="00D61755" w:rsidRDefault="00FD54A7" w:rsidP="009E651B">
            <w:pPr>
              <w:keepNext/>
              <w:widowControl/>
              <w:rPr>
                <w:sz w:val="20"/>
                <w:szCs w:val="20"/>
                <w:lang w:eastAsia="en-AU" w:bidi="ar-SA"/>
              </w:rPr>
            </w:pPr>
            <w:r>
              <w:rPr>
                <w:sz w:val="20"/>
                <w:szCs w:val="20"/>
                <w:lang w:eastAsia="en-AU" w:bidi="ar-SA"/>
              </w:rPr>
              <w:t>-</w:t>
            </w:r>
          </w:p>
        </w:tc>
        <w:tc>
          <w:tcPr>
            <w:tcW w:w="3270" w:type="dxa"/>
          </w:tcPr>
          <w:p w14:paraId="737A0C41" w14:textId="77777777" w:rsidR="00FD54A7" w:rsidRPr="00D61755" w:rsidRDefault="00FD54A7" w:rsidP="009E651B">
            <w:pPr>
              <w:keepNext/>
              <w:widowControl/>
              <w:rPr>
                <w:sz w:val="20"/>
                <w:szCs w:val="20"/>
                <w:lang w:eastAsia="en-AU" w:bidi="ar-SA"/>
              </w:rPr>
            </w:pPr>
            <w:r w:rsidRPr="00D61755">
              <w:rPr>
                <w:sz w:val="20"/>
                <w:szCs w:val="20"/>
                <w:lang w:eastAsia="en-AU" w:bidi="ar-SA"/>
              </w:rPr>
              <w:t xml:space="preserve">57.6, 56.1, 58.8 </w:t>
            </w:r>
          </w:p>
        </w:tc>
      </w:tr>
      <w:tr w:rsidR="00FD54A7" w:rsidRPr="00D61755" w14:paraId="690D8424" w14:textId="77777777" w:rsidTr="00CA09DF">
        <w:tc>
          <w:tcPr>
            <w:tcW w:w="3517" w:type="dxa"/>
          </w:tcPr>
          <w:p w14:paraId="0A1B5079" w14:textId="77777777" w:rsidR="00FD54A7" w:rsidRPr="00D61755" w:rsidRDefault="00FD54A7" w:rsidP="009E651B">
            <w:pPr>
              <w:keepNext/>
              <w:widowControl/>
              <w:rPr>
                <w:sz w:val="20"/>
                <w:szCs w:val="20"/>
                <w:lang w:eastAsia="en-AU" w:bidi="ar-SA"/>
              </w:rPr>
            </w:pPr>
            <w:r w:rsidRPr="00D61755">
              <w:rPr>
                <w:sz w:val="20"/>
                <w:szCs w:val="20"/>
                <w:lang w:eastAsia="en-AU" w:bidi="ar-SA"/>
              </w:rPr>
              <w:t>Free glycerol % w/w</w:t>
            </w:r>
          </w:p>
        </w:tc>
        <w:tc>
          <w:tcPr>
            <w:tcW w:w="873" w:type="dxa"/>
          </w:tcPr>
          <w:p w14:paraId="54EAE2F6" w14:textId="4C2F0CBB" w:rsidR="00FD54A7" w:rsidRPr="00D61755" w:rsidRDefault="00FD54A7" w:rsidP="009E651B">
            <w:pPr>
              <w:keepNext/>
              <w:widowControl/>
              <w:rPr>
                <w:sz w:val="20"/>
                <w:szCs w:val="20"/>
                <w:lang w:eastAsia="en-AU" w:bidi="ar-SA"/>
              </w:rPr>
            </w:pPr>
            <w:r>
              <w:rPr>
                <w:rFonts w:ascii="Cambria Math" w:hAnsi="Cambria Math"/>
                <w:sz w:val="20"/>
                <w:szCs w:val="20"/>
                <w:lang w:eastAsia="en-AU" w:bidi="ar-SA"/>
              </w:rPr>
              <w:t>≯</w:t>
            </w:r>
            <w:r w:rsidR="002375EF">
              <w:rPr>
                <w:rFonts w:ascii="Cambria Math" w:hAnsi="Cambria Math"/>
                <w:sz w:val="20"/>
                <w:szCs w:val="20"/>
                <w:vertAlign w:val="superscript"/>
                <w:lang w:eastAsia="en-AU" w:bidi="ar-SA"/>
              </w:rPr>
              <w:t>c</w:t>
            </w:r>
            <w:r w:rsidRPr="00D61755">
              <w:rPr>
                <w:sz w:val="20"/>
                <w:szCs w:val="20"/>
                <w:lang w:eastAsia="en-AU" w:bidi="ar-SA"/>
              </w:rPr>
              <w:t xml:space="preserve"> 7</w:t>
            </w:r>
          </w:p>
        </w:tc>
        <w:tc>
          <w:tcPr>
            <w:tcW w:w="850" w:type="dxa"/>
          </w:tcPr>
          <w:p w14:paraId="5211C943" w14:textId="77777777" w:rsidR="00FD54A7" w:rsidRPr="00D61755" w:rsidRDefault="00FD54A7" w:rsidP="009E651B">
            <w:pPr>
              <w:keepNext/>
              <w:widowControl/>
              <w:rPr>
                <w:sz w:val="20"/>
                <w:szCs w:val="20"/>
                <w:lang w:eastAsia="en-AU" w:bidi="ar-SA"/>
              </w:rPr>
            </w:pPr>
            <w:r>
              <w:rPr>
                <w:rFonts w:ascii="Cambria Math" w:hAnsi="Cambria Math"/>
                <w:sz w:val="20"/>
                <w:szCs w:val="20"/>
                <w:lang w:eastAsia="en-AU" w:bidi="ar-SA"/>
              </w:rPr>
              <w:t>≯</w:t>
            </w:r>
            <w:r>
              <w:rPr>
                <w:sz w:val="20"/>
                <w:szCs w:val="20"/>
                <w:lang w:eastAsia="en-AU" w:bidi="ar-SA"/>
              </w:rPr>
              <w:t xml:space="preserve"> 7</w:t>
            </w:r>
          </w:p>
        </w:tc>
        <w:tc>
          <w:tcPr>
            <w:tcW w:w="841" w:type="dxa"/>
          </w:tcPr>
          <w:p w14:paraId="0F62FDA3" w14:textId="77777777" w:rsidR="00FD54A7" w:rsidRPr="00D61755" w:rsidRDefault="00FD54A7" w:rsidP="009E651B">
            <w:pPr>
              <w:keepNext/>
              <w:widowControl/>
              <w:rPr>
                <w:sz w:val="20"/>
                <w:szCs w:val="20"/>
                <w:lang w:eastAsia="en-AU" w:bidi="ar-SA"/>
              </w:rPr>
            </w:pPr>
            <w:r>
              <w:rPr>
                <w:rFonts w:ascii="Cambria Math" w:hAnsi="Cambria Math"/>
                <w:sz w:val="20"/>
                <w:szCs w:val="20"/>
                <w:lang w:eastAsia="en-AU" w:bidi="ar-SA"/>
              </w:rPr>
              <w:t>≯</w:t>
            </w:r>
            <w:r w:rsidRPr="00D61755">
              <w:rPr>
                <w:sz w:val="20"/>
                <w:szCs w:val="20"/>
                <w:lang w:eastAsia="en-AU" w:bidi="ar-SA"/>
              </w:rPr>
              <w:t xml:space="preserve"> 7</w:t>
            </w:r>
          </w:p>
        </w:tc>
        <w:tc>
          <w:tcPr>
            <w:tcW w:w="3270" w:type="dxa"/>
          </w:tcPr>
          <w:p w14:paraId="63A91813" w14:textId="77777777" w:rsidR="00FD54A7" w:rsidRPr="00D61755" w:rsidRDefault="00FD54A7" w:rsidP="009E651B">
            <w:pPr>
              <w:keepNext/>
              <w:widowControl/>
              <w:rPr>
                <w:sz w:val="20"/>
                <w:szCs w:val="20"/>
                <w:lang w:eastAsia="en-AU" w:bidi="ar-SA"/>
              </w:rPr>
            </w:pPr>
            <w:r>
              <w:rPr>
                <w:sz w:val="20"/>
                <w:szCs w:val="20"/>
                <w:lang w:eastAsia="en-AU" w:bidi="ar-SA"/>
              </w:rPr>
              <w:t>&lt;5, &lt;5, &lt;5</w:t>
            </w:r>
          </w:p>
        </w:tc>
      </w:tr>
      <w:tr w:rsidR="00FD54A7" w:rsidRPr="00D61755" w14:paraId="2E0D492A" w14:textId="77777777" w:rsidTr="00CA09DF">
        <w:tc>
          <w:tcPr>
            <w:tcW w:w="3517" w:type="dxa"/>
          </w:tcPr>
          <w:p w14:paraId="469340DB" w14:textId="77777777" w:rsidR="00FD54A7" w:rsidRPr="00D61755" w:rsidRDefault="00FD54A7" w:rsidP="009E651B">
            <w:pPr>
              <w:keepNext/>
              <w:widowControl/>
              <w:rPr>
                <w:sz w:val="20"/>
                <w:szCs w:val="20"/>
                <w:lang w:eastAsia="en-AU" w:bidi="ar-SA"/>
              </w:rPr>
            </w:pPr>
            <w:r>
              <w:rPr>
                <w:sz w:val="20"/>
                <w:szCs w:val="20"/>
                <w:lang w:eastAsia="en-AU" w:bidi="ar-SA"/>
              </w:rPr>
              <w:t>Water content %</w:t>
            </w:r>
          </w:p>
        </w:tc>
        <w:tc>
          <w:tcPr>
            <w:tcW w:w="873" w:type="dxa"/>
          </w:tcPr>
          <w:p w14:paraId="1A2BDAFE" w14:textId="77777777" w:rsidR="00FD54A7" w:rsidRPr="00D61755" w:rsidRDefault="00FD54A7" w:rsidP="009E651B">
            <w:pPr>
              <w:keepNext/>
              <w:widowControl/>
              <w:rPr>
                <w:sz w:val="20"/>
                <w:szCs w:val="20"/>
                <w:lang w:eastAsia="en-AU" w:bidi="ar-SA"/>
              </w:rPr>
            </w:pPr>
            <w:r w:rsidRPr="00D263C6">
              <w:rPr>
                <w:rFonts w:ascii="Cambria Math" w:hAnsi="Cambria Math" w:cs="Cambria Math"/>
                <w:sz w:val="20"/>
                <w:szCs w:val="20"/>
                <w:lang w:eastAsia="en-AU" w:bidi="ar-SA"/>
              </w:rPr>
              <w:t>≯</w:t>
            </w:r>
            <w:r>
              <w:rPr>
                <w:sz w:val="20"/>
                <w:szCs w:val="20"/>
                <w:lang w:eastAsia="en-AU" w:bidi="ar-SA"/>
              </w:rPr>
              <w:t xml:space="preserve"> 2</w:t>
            </w:r>
          </w:p>
        </w:tc>
        <w:tc>
          <w:tcPr>
            <w:tcW w:w="850" w:type="dxa"/>
          </w:tcPr>
          <w:p w14:paraId="1F7CF60D" w14:textId="77777777" w:rsidR="00FD54A7" w:rsidRPr="00D61755" w:rsidRDefault="00FD54A7" w:rsidP="009E651B">
            <w:pPr>
              <w:keepNext/>
              <w:widowControl/>
              <w:rPr>
                <w:sz w:val="20"/>
                <w:szCs w:val="20"/>
                <w:lang w:eastAsia="en-AU" w:bidi="ar-SA"/>
              </w:rPr>
            </w:pPr>
            <w:r>
              <w:rPr>
                <w:sz w:val="20"/>
                <w:szCs w:val="20"/>
                <w:lang w:eastAsia="en-AU" w:bidi="ar-SA"/>
              </w:rPr>
              <w:t>-</w:t>
            </w:r>
          </w:p>
        </w:tc>
        <w:tc>
          <w:tcPr>
            <w:tcW w:w="841" w:type="dxa"/>
          </w:tcPr>
          <w:p w14:paraId="17F817E8" w14:textId="77777777" w:rsidR="00FD54A7" w:rsidRPr="00D61755" w:rsidRDefault="00FD54A7" w:rsidP="009E651B">
            <w:pPr>
              <w:keepNext/>
              <w:widowControl/>
              <w:rPr>
                <w:sz w:val="20"/>
                <w:szCs w:val="20"/>
                <w:lang w:eastAsia="en-AU" w:bidi="ar-SA"/>
              </w:rPr>
            </w:pPr>
            <w:r w:rsidRPr="00D263C6">
              <w:rPr>
                <w:rFonts w:ascii="Cambria Math" w:hAnsi="Cambria Math" w:cs="Cambria Math"/>
                <w:sz w:val="20"/>
                <w:szCs w:val="20"/>
                <w:lang w:eastAsia="en-AU" w:bidi="ar-SA"/>
              </w:rPr>
              <w:t>≯</w:t>
            </w:r>
            <w:r>
              <w:rPr>
                <w:sz w:val="20"/>
                <w:szCs w:val="20"/>
                <w:lang w:eastAsia="en-AU" w:bidi="ar-SA"/>
              </w:rPr>
              <w:t xml:space="preserve"> 2</w:t>
            </w:r>
          </w:p>
        </w:tc>
        <w:tc>
          <w:tcPr>
            <w:tcW w:w="3270" w:type="dxa"/>
          </w:tcPr>
          <w:p w14:paraId="23B9E830" w14:textId="77777777" w:rsidR="00FD54A7" w:rsidRPr="00D61755" w:rsidRDefault="00FD54A7" w:rsidP="009E651B">
            <w:pPr>
              <w:keepNext/>
              <w:widowControl/>
              <w:rPr>
                <w:sz w:val="20"/>
                <w:szCs w:val="20"/>
                <w:lang w:eastAsia="en-AU" w:bidi="ar-SA"/>
              </w:rPr>
            </w:pPr>
            <w:r>
              <w:rPr>
                <w:sz w:val="20"/>
                <w:szCs w:val="20"/>
                <w:lang w:eastAsia="en-AU" w:bidi="ar-SA"/>
              </w:rPr>
              <w:t>0.30, 0.20, 0.36</w:t>
            </w:r>
          </w:p>
        </w:tc>
      </w:tr>
      <w:tr w:rsidR="00FD54A7" w:rsidRPr="00D61755" w14:paraId="6EBB8553" w14:textId="77777777" w:rsidTr="00CA09DF">
        <w:tc>
          <w:tcPr>
            <w:tcW w:w="3517" w:type="dxa"/>
          </w:tcPr>
          <w:p w14:paraId="4EBC8DEC" w14:textId="0BBE0BA9" w:rsidR="00FD54A7" w:rsidRPr="00D61755" w:rsidRDefault="00FD54A7" w:rsidP="00EA4117">
            <w:pPr>
              <w:keepNext/>
              <w:widowControl/>
              <w:rPr>
                <w:sz w:val="20"/>
                <w:szCs w:val="20"/>
                <w:lang w:eastAsia="en-AU" w:bidi="ar-SA"/>
              </w:rPr>
            </w:pPr>
            <w:r>
              <w:rPr>
                <w:sz w:val="20"/>
                <w:szCs w:val="20"/>
                <w:lang w:eastAsia="en-AU" w:bidi="ar-SA"/>
              </w:rPr>
              <w:lastRenderedPageBreak/>
              <w:t>Acid value</w:t>
            </w:r>
            <w:r w:rsidR="00EA4117">
              <w:rPr>
                <w:rStyle w:val="FootnoteReference"/>
                <w:sz w:val="20"/>
                <w:szCs w:val="20"/>
                <w:lang w:eastAsia="en-AU" w:bidi="ar-SA"/>
              </w:rPr>
              <w:footnoteReference w:id="3"/>
            </w:r>
            <w:r w:rsidR="00492A93">
              <w:rPr>
                <w:sz w:val="20"/>
                <w:szCs w:val="20"/>
                <w:lang w:eastAsia="en-AU" w:bidi="ar-SA"/>
              </w:rPr>
              <w:t xml:space="preserve"> </w:t>
            </w:r>
          </w:p>
        </w:tc>
        <w:tc>
          <w:tcPr>
            <w:tcW w:w="873" w:type="dxa"/>
          </w:tcPr>
          <w:p w14:paraId="329D8362" w14:textId="77777777" w:rsidR="00FD54A7" w:rsidRPr="00D263C6" w:rsidRDefault="00FD54A7" w:rsidP="009E651B">
            <w:pPr>
              <w:keepNext/>
              <w:widowControl/>
              <w:rPr>
                <w:rFonts w:cs="Arial"/>
                <w:sz w:val="20"/>
                <w:szCs w:val="20"/>
                <w:lang w:eastAsia="en-AU" w:bidi="ar-SA"/>
              </w:rPr>
            </w:pPr>
            <w:r w:rsidRPr="00D263C6">
              <w:rPr>
                <w:rFonts w:ascii="Cambria Math" w:hAnsi="Cambria Math" w:cs="Cambria Math"/>
                <w:sz w:val="20"/>
                <w:szCs w:val="20"/>
                <w:lang w:eastAsia="en-AU" w:bidi="ar-SA"/>
              </w:rPr>
              <w:t>≯</w:t>
            </w:r>
            <w:r w:rsidRPr="00D263C6">
              <w:rPr>
                <w:rFonts w:cs="Arial"/>
                <w:sz w:val="20"/>
                <w:szCs w:val="20"/>
                <w:lang w:eastAsia="en-AU" w:bidi="ar-SA"/>
              </w:rPr>
              <w:t xml:space="preserve"> 6</w:t>
            </w:r>
          </w:p>
        </w:tc>
        <w:tc>
          <w:tcPr>
            <w:tcW w:w="850" w:type="dxa"/>
          </w:tcPr>
          <w:p w14:paraId="5FC6089D" w14:textId="77777777" w:rsidR="00FD54A7" w:rsidRPr="00D61755" w:rsidRDefault="00FD54A7" w:rsidP="009E651B">
            <w:pPr>
              <w:keepNext/>
              <w:widowControl/>
              <w:rPr>
                <w:sz w:val="20"/>
                <w:szCs w:val="20"/>
                <w:lang w:eastAsia="en-AU" w:bidi="ar-SA"/>
              </w:rPr>
            </w:pPr>
            <w:r>
              <w:rPr>
                <w:rFonts w:ascii="Cambria Math" w:hAnsi="Cambria Math"/>
                <w:sz w:val="20"/>
                <w:szCs w:val="20"/>
                <w:lang w:eastAsia="en-AU" w:bidi="ar-SA"/>
              </w:rPr>
              <w:t>≯</w:t>
            </w:r>
            <w:r>
              <w:rPr>
                <w:sz w:val="20"/>
                <w:szCs w:val="20"/>
                <w:lang w:eastAsia="en-AU" w:bidi="ar-SA"/>
              </w:rPr>
              <w:t xml:space="preserve"> 6</w:t>
            </w:r>
          </w:p>
        </w:tc>
        <w:tc>
          <w:tcPr>
            <w:tcW w:w="841" w:type="dxa"/>
          </w:tcPr>
          <w:p w14:paraId="4B4549D9" w14:textId="77777777" w:rsidR="00FD54A7" w:rsidRPr="00D61755" w:rsidRDefault="00FD54A7" w:rsidP="009E651B">
            <w:pPr>
              <w:keepNext/>
              <w:widowControl/>
              <w:rPr>
                <w:sz w:val="20"/>
                <w:szCs w:val="20"/>
                <w:lang w:eastAsia="en-AU" w:bidi="ar-SA"/>
              </w:rPr>
            </w:pPr>
            <w:r w:rsidRPr="00D263C6">
              <w:rPr>
                <w:rFonts w:ascii="Cambria Math" w:hAnsi="Cambria Math" w:cs="Cambria Math"/>
                <w:sz w:val="20"/>
                <w:szCs w:val="20"/>
                <w:lang w:eastAsia="en-AU" w:bidi="ar-SA"/>
              </w:rPr>
              <w:t>≯</w:t>
            </w:r>
            <w:r w:rsidRPr="00D263C6">
              <w:rPr>
                <w:rFonts w:cs="Arial"/>
                <w:sz w:val="20"/>
                <w:szCs w:val="20"/>
                <w:lang w:eastAsia="en-AU" w:bidi="ar-SA"/>
              </w:rPr>
              <w:t xml:space="preserve"> 6</w:t>
            </w:r>
          </w:p>
        </w:tc>
        <w:tc>
          <w:tcPr>
            <w:tcW w:w="3270" w:type="dxa"/>
          </w:tcPr>
          <w:p w14:paraId="3C2EE95E" w14:textId="77777777" w:rsidR="00FD54A7" w:rsidRPr="00D61755" w:rsidRDefault="00FD54A7" w:rsidP="009E651B">
            <w:pPr>
              <w:keepNext/>
              <w:widowControl/>
              <w:rPr>
                <w:sz w:val="20"/>
                <w:szCs w:val="20"/>
                <w:lang w:eastAsia="en-AU" w:bidi="ar-SA"/>
              </w:rPr>
            </w:pPr>
            <w:r>
              <w:rPr>
                <w:sz w:val="20"/>
                <w:szCs w:val="20"/>
                <w:lang w:eastAsia="en-AU" w:bidi="ar-SA"/>
              </w:rPr>
              <w:t>4.6, 2.8, 2.2</w:t>
            </w:r>
          </w:p>
        </w:tc>
      </w:tr>
      <w:tr w:rsidR="00FD54A7" w:rsidRPr="00D61755" w14:paraId="73531C0A" w14:textId="77777777" w:rsidTr="00CA09DF">
        <w:tc>
          <w:tcPr>
            <w:tcW w:w="3517" w:type="dxa"/>
          </w:tcPr>
          <w:p w14:paraId="2AF6BA9D" w14:textId="77777777" w:rsidR="00FD54A7" w:rsidRPr="00D61755" w:rsidRDefault="00FD54A7" w:rsidP="009E651B">
            <w:pPr>
              <w:keepNext/>
              <w:widowControl/>
              <w:rPr>
                <w:sz w:val="20"/>
                <w:szCs w:val="20"/>
                <w:lang w:eastAsia="en-AU" w:bidi="ar-SA"/>
              </w:rPr>
            </w:pPr>
            <w:r>
              <w:rPr>
                <w:sz w:val="20"/>
                <w:szCs w:val="20"/>
                <w:lang w:eastAsia="en-AU" w:bidi="ar-SA"/>
              </w:rPr>
              <w:t>Sulphated ash % w/w</w:t>
            </w:r>
          </w:p>
        </w:tc>
        <w:tc>
          <w:tcPr>
            <w:tcW w:w="873" w:type="dxa"/>
          </w:tcPr>
          <w:p w14:paraId="5661DD72" w14:textId="77777777" w:rsidR="00FD54A7" w:rsidRPr="00D61755" w:rsidRDefault="00FD54A7" w:rsidP="009E651B">
            <w:pPr>
              <w:keepNext/>
              <w:widowControl/>
              <w:rPr>
                <w:sz w:val="20"/>
                <w:szCs w:val="20"/>
                <w:lang w:eastAsia="en-AU" w:bidi="ar-SA"/>
              </w:rPr>
            </w:pPr>
          </w:p>
        </w:tc>
        <w:tc>
          <w:tcPr>
            <w:tcW w:w="850" w:type="dxa"/>
          </w:tcPr>
          <w:p w14:paraId="0379320A" w14:textId="16CC542A" w:rsidR="00FD54A7" w:rsidRPr="00D92DCA" w:rsidRDefault="00FD54A7" w:rsidP="002375EF">
            <w:pPr>
              <w:keepNext/>
              <w:widowControl/>
              <w:rPr>
                <w:sz w:val="20"/>
                <w:szCs w:val="20"/>
                <w:vertAlign w:val="superscript"/>
                <w:lang w:eastAsia="en-AU" w:bidi="ar-SA"/>
              </w:rPr>
            </w:pPr>
            <w:r w:rsidRPr="007A79CC">
              <w:rPr>
                <w:rFonts w:ascii="Cambria Math" w:hAnsi="Cambria Math" w:cs="Cambria Math"/>
                <w:sz w:val="20"/>
                <w:szCs w:val="20"/>
                <w:lang w:eastAsia="en-AU" w:bidi="ar-SA"/>
              </w:rPr>
              <w:t>≯</w:t>
            </w:r>
            <w:r w:rsidRPr="007A79CC">
              <w:rPr>
                <w:sz w:val="20"/>
                <w:szCs w:val="20"/>
                <w:lang w:eastAsia="en-AU" w:bidi="ar-SA"/>
              </w:rPr>
              <w:t xml:space="preserve"> 0.5</w:t>
            </w:r>
            <w:r w:rsidR="002375EF">
              <w:rPr>
                <w:sz w:val="20"/>
                <w:szCs w:val="20"/>
                <w:vertAlign w:val="superscript"/>
                <w:lang w:eastAsia="en-AU" w:bidi="ar-SA"/>
              </w:rPr>
              <w:t>d</w:t>
            </w:r>
          </w:p>
        </w:tc>
        <w:tc>
          <w:tcPr>
            <w:tcW w:w="841" w:type="dxa"/>
          </w:tcPr>
          <w:p w14:paraId="5B815205" w14:textId="77777777" w:rsidR="00FD54A7" w:rsidRPr="00D61755" w:rsidRDefault="00FD54A7" w:rsidP="009E651B">
            <w:pPr>
              <w:keepNext/>
              <w:widowControl/>
              <w:rPr>
                <w:sz w:val="20"/>
                <w:szCs w:val="20"/>
                <w:lang w:eastAsia="en-AU" w:bidi="ar-SA"/>
              </w:rPr>
            </w:pPr>
            <w:r w:rsidRPr="007A79CC">
              <w:rPr>
                <w:rFonts w:ascii="Cambria Math" w:hAnsi="Cambria Math" w:cs="Cambria Math"/>
                <w:sz w:val="20"/>
                <w:szCs w:val="20"/>
                <w:lang w:eastAsia="en-AU" w:bidi="ar-SA"/>
              </w:rPr>
              <w:t>≯</w:t>
            </w:r>
            <w:r w:rsidRPr="007A79CC">
              <w:rPr>
                <w:sz w:val="20"/>
                <w:szCs w:val="20"/>
                <w:lang w:eastAsia="en-AU" w:bidi="ar-SA"/>
              </w:rPr>
              <w:t xml:space="preserve"> 0.5</w:t>
            </w:r>
          </w:p>
        </w:tc>
        <w:tc>
          <w:tcPr>
            <w:tcW w:w="3270" w:type="dxa"/>
          </w:tcPr>
          <w:p w14:paraId="0B345FFD" w14:textId="77777777" w:rsidR="00FD54A7" w:rsidRPr="00D61755" w:rsidRDefault="00FD54A7" w:rsidP="009E651B">
            <w:pPr>
              <w:keepNext/>
              <w:widowControl/>
              <w:rPr>
                <w:sz w:val="20"/>
                <w:szCs w:val="20"/>
                <w:lang w:eastAsia="en-AU" w:bidi="ar-SA"/>
              </w:rPr>
            </w:pPr>
            <w:r>
              <w:rPr>
                <w:sz w:val="20"/>
                <w:szCs w:val="20"/>
                <w:lang w:eastAsia="en-AU" w:bidi="ar-SA"/>
              </w:rPr>
              <w:t>&lt;0.1, &lt;0.1, &lt;0.1</w:t>
            </w:r>
          </w:p>
        </w:tc>
      </w:tr>
      <w:tr w:rsidR="00FD54A7" w:rsidRPr="00D61755" w14:paraId="4DFD18F4" w14:textId="77777777" w:rsidTr="00CA09DF">
        <w:tc>
          <w:tcPr>
            <w:tcW w:w="3517" w:type="dxa"/>
          </w:tcPr>
          <w:p w14:paraId="56678F23" w14:textId="77777777" w:rsidR="00FD54A7" w:rsidRPr="00D61755" w:rsidRDefault="00FD54A7" w:rsidP="009E651B">
            <w:pPr>
              <w:keepNext/>
              <w:widowControl/>
              <w:rPr>
                <w:sz w:val="20"/>
                <w:szCs w:val="20"/>
                <w:lang w:eastAsia="en-AU" w:bidi="ar-SA"/>
              </w:rPr>
            </w:pPr>
            <w:r>
              <w:rPr>
                <w:sz w:val="20"/>
                <w:szCs w:val="20"/>
                <w:lang w:eastAsia="en-AU" w:bidi="ar-SA"/>
              </w:rPr>
              <w:t>Soap, (as sodium oleate) % w/w</w:t>
            </w:r>
          </w:p>
        </w:tc>
        <w:tc>
          <w:tcPr>
            <w:tcW w:w="873" w:type="dxa"/>
          </w:tcPr>
          <w:p w14:paraId="5DEB13F2" w14:textId="77777777" w:rsidR="00FD54A7" w:rsidRPr="00D61755" w:rsidRDefault="00FD54A7" w:rsidP="009E651B">
            <w:pPr>
              <w:keepNext/>
              <w:widowControl/>
              <w:rPr>
                <w:sz w:val="20"/>
                <w:szCs w:val="20"/>
                <w:lang w:eastAsia="en-AU" w:bidi="ar-SA"/>
              </w:rPr>
            </w:pPr>
            <w:r>
              <w:rPr>
                <w:rFonts w:ascii="Cambria Math" w:hAnsi="Cambria Math"/>
                <w:sz w:val="20"/>
                <w:szCs w:val="20"/>
                <w:lang w:eastAsia="en-AU" w:bidi="ar-SA"/>
              </w:rPr>
              <w:t>≯</w:t>
            </w:r>
            <w:r>
              <w:rPr>
                <w:sz w:val="20"/>
                <w:szCs w:val="20"/>
                <w:lang w:eastAsia="en-AU" w:bidi="ar-SA"/>
              </w:rPr>
              <w:t xml:space="preserve"> 6</w:t>
            </w:r>
          </w:p>
        </w:tc>
        <w:tc>
          <w:tcPr>
            <w:tcW w:w="850" w:type="dxa"/>
          </w:tcPr>
          <w:p w14:paraId="1E6909C7" w14:textId="77777777" w:rsidR="00FD54A7" w:rsidRPr="00D61755" w:rsidRDefault="00FD54A7" w:rsidP="009E651B">
            <w:pPr>
              <w:keepNext/>
              <w:widowControl/>
              <w:rPr>
                <w:sz w:val="20"/>
                <w:szCs w:val="20"/>
                <w:lang w:eastAsia="en-AU" w:bidi="ar-SA"/>
              </w:rPr>
            </w:pPr>
            <w:r>
              <w:rPr>
                <w:sz w:val="20"/>
                <w:szCs w:val="20"/>
                <w:lang w:eastAsia="en-AU" w:bidi="ar-SA"/>
              </w:rPr>
              <w:t>-</w:t>
            </w:r>
          </w:p>
        </w:tc>
        <w:tc>
          <w:tcPr>
            <w:tcW w:w="841" w:type="dxa"/>
          </w:tcPr>
          <w:p w14:paraId="3EA8C91F" w14:textId="77777777" w:rsidR="00FD54A7" w:rsidRPr="00D61755" w:rsidRDefault="00FD54A7" w:rsidP="009E651B">
            <w:pPr>
              <w:keepNext/>
              <w:widowControl/>
              <w:rPr>
                <w:sz w:val="20"/>
                <w:szCs w:val="20"/>
                <w:lang w:eastAsia="en-AU" w:bidi="ar-SA"/>
              </w:rPr>
            </w:pPr>
            <w:r>
              <w:rPr>
                <w:sz w:val="20"/>
                <w:szCs w:val="20"/>
                <w:lang w:eastAsia="en-AU" w:bidi="ar-SA"/>
              </w:rPr>
              <w:t>-</w:t>
            </w:r>
          </w:p>
        </w:tc>
        <w:tc>
          <w:tcPr>
            <w:tcW w:w="3270" w:type="dxa"/>
          </w:tcPr>
          <w:p w14:paraId="6C387C15" w14:textId="77777777" w:rsidR="00FD54A7" w:rsidRPr="00D61755" w:rsidRDefault="00FD54A7" w:rsidP="009E651B">
            <w:pPr>
              <w:keepNext/>
              <w:widowControl/>
              <w:rPr>
                <w:sz w:val="20"/>
                <w:szCs w:val="20"/>
                <w:lang w:eastAsia="en-AU" w:bidi="ar-SA"/>
              </w:rPr>
            </w:pPr>
            <w:r>
              <w:rPr>
                <w:sz w:val="20"/>
                <w:szCs w:val="20"/>
                <w:lang w:eastAsia="en-AU" w:bidi="ar-SA"/>
              </w:rPr>
              <w:t>&lt;0.156, &lt;0.156, &lt;0.156</w:t>
            </w:r>
          </w:p>
        </w:tc>
      </w:tr>
      <w:tr w:rsidR="00FD54A7" w:rsidRPr="00D61755" w14:paraId="09A1021C" w14:textId="77777777" w:rsidTr="00CA09DF">
        <w:tc>
          <w:tcPr>
            <w:tcW w:w="3517" w:type="dxa"/>
          </w:tcPr>
          <w:p w14:paraId="01B33511" w14:textId="77777777" w:rsidR="00FD54A7" w:rsidRPr="00D61755" w:rsidRDefault="00FD54A7" w:rsidP="009E651B">
            <w:pPr>
              <w:keepNext/>
              <w:widowControl/>
              <w:rPr>
                <w:sz w:val="20"/>
                <w:szCs w:val="20"/>
                <w:lang w:eastAsia="en-AU" w:bidi="ar-SA"/>
              </w:rPr>
            </w:pPr>
            <w:r>
              <w:rPr>
                <w:sz w:val="20"/>
                <w:szCs w:val="20"/>
                <w:lang w:eastAsia="en-AU" w:bidi="ar-SA"/>
              </w:rPr>
              <w:t>Lead mg/kg</w:t>
            </w:r>
          </w:p>
        </w:tc>
        <w:tc>
          <w:tcPr>
            <w:tcW w:w="873" w:type="dxa"/>
          </w:tcPr>
          <w:p w14:paraId="53077A48" w14:textId="77777777" w:rsidR="00FD54A7" w:rsidRPr="00D61755" w:rsidRDefault="00FD54A7" w:rsidP="009E651B">
            <w:pPr>
              <w:keepNext/>
              <w:widowControl/>
              <w:rPr>
                <w:sz w:val="20"/>
                <w:szCs w:val="20"/>
                <w:lang w:eastAsia="en-AU" w:bidi="ar-SA"/>
              </w:rPr>
            </w:pPr>
            <w:r>
              <w:rPr>
                <w:rFonts w:ascii="Cambria Math" w:hAnsi="Cambria Math"/>
                <w:sz w:val="20"/>
                <w:szCs w:val="20"/>
                <w:lang w:eastAsia="en-AU" w:bidi="ar-SA"/>
              </w:rPr>
              <w:t>≯</w:t>
            </w:r>
            <w:r>
              <w:rPr>
                <w:sz w:val="20"/>
                <w:szCs w:val="20"/>
                <w:lang w:eastAsia="en-AU" w:bidi="ar-SA"/>
              </w:rPr>
              <w:t xml:space="preserve"> 2</w:t>
            </w:r>
          </w:p>
        </w:tc>
        <w:tc>
          <w:tcPr>
            <w:tcW w:w="850" w:type="dxa"/>
          </w:tcPr>
          <w:p w14:paraId="60EB0355" w14:textId="77777777" w:rsidR="00FD54A7" w:rsidRPr="00D61755" w:rsidRDefault="00FD54A7" w:rsidP="009E651B">
            <w:pPr>
              <w:keepNext/>
              <w:widowControl/>
              <w:rPr>
                <w:sz w:val="20"/>
                <w:szCs w:val="20"/>
                <w:lang w:eastAsia="en-AU" w:bidi="ar-SA"/>
              </w:rPr>
            </w:pPr>
            <w:r>
              <w:rPr>
                <w:rFonts w:ascii="Cambria Math" w:hAnsi="Cambria Math"/>
                <w:sz w:val="20"/>
                <w:szCs w:val="20"/>
                <w:lang w:eastAsia="en-AU" w:bidi="ar-SA"/>
              </w:rPr>
              <w:t>≯</w:t>
            </w:r>
            <w:r>
              <w:rPr>
                <w:sz w:val="20"/>
                <w:szCs w:val="20"/>
                <w:lang w:eastAsia="en-AU" w:bidi="ar-SA"/>
              </w:rPr>
              <w:t xml:space="preserve"> 2</w:t>
            </w:r>
          </w:p>
        </w:tc>
        <w:tc>
          <w:tcPr>
            <w:tcW w:w="841" w:type="dxa"/>
          </w:tcPr>
          <w:p w14:paraId="32EBC94B" w14:textId="77777777" w:rsidR="00FD54A7" w:rsidRPr="00D61755" w:rsidRDefault="00FD54A7" w:rsidP="009E651B">
            <w:pPr>
              <w:keepNext/>
              <w:widowControl/>
              <w:rPr>
                <w:sz w:val="20"/>
                <w:szCs w:val="20"/>
                <w:lang w:eastAsia="en-AU" w:bidi="ar-SA"/>
              </w:rPr>
            </w:pPr>
            <w:r w:rsidRPr="00E83206">
              <w:rPr>
                <w:rFonts w:ascii="Cambria Math" w:hAnsi="Cambria Math" w:cs="Cambria Math"/>
                <w:sz w:val="20"/>
                <w:szCs w:val="20"/>
                <w:lang w:eastAsia="en-AU" w:bidi="ar-SA"/>
              </w:rPr>
              <w:t>≯</w:t>
            </w:r>
            <w:r w:rsidRPr="00E83206">
              <w:rPr>
                <w:sz w:val="20"/>
                <w:szCs w:val="20"/>
                <w:lang w:eastAsia="en-AU" w:bidi="ar-SA"/>
              </w:rPr>
              <w:t xml:space="preserve"> 2</w:t>
            </w:r>
          </w:p>
        </w:tc>
        <w:tc>
          <w:tcPr>
            <w:tcW w:w="3270" w:type="dxa"/>
          </w:tcPr>
          <w:p w14:paraId="1A960DED" w14:textId="77777777" w:rsidR="00FD54A7" w:rsidRPr="00D61755" w:rsidRDefault="00FD54A7" w:rsidP="009E651B">
            <w:pPr>
              <w:keepNext/>
              <w:widowControl/>
              <w:rPr>
                <w:sz w:val="20"/>
                <w:szCs w:val="20"/>
                <w:lang w:eastAsia="en-AU" w:bidi="ar-SA"/>
              </w:rPr>
            </w:pPr>
            <w:r>
              <w:rPr>
                <w:sz w:val="20"/>
                <w:szCs w:val="20"/>
                <w:lang w:eastAsia="en-AU" w:bidi="ar-SA"/>
              </w:rPr>
              <w:t>&lt;0.0965, &lt;0.0923, &lt;0.0931</w:t>
            </w:r>
          </w:p>
        </w:tc>
      </w:tr>
      <w:tr w:rsidR="00FD54A7" w:rsidRPr="00D61755" w14:paraId="6973A3D4" w14:textId="77777777" w:rsidTr="00CA09DF">
        <w:tc>
          <w:tcPr>
            <w:tcW w:w="3517" w:type="dxa"/>
          </w:tcPr>
          <w:p w14:paraId="00DAAAD1" w14:textId="77777777" w:rsidR="00FD54A7" w:rsidRPr="00D61755" w:rsidRDefault="00FD54A7" w:rsidP="009E651B">
            <w:pPr>
              <w:keepNext/>
              <w:widowControl/>
              <w:rPr>
                <w:sz w:val="20"/>
                <w:szCs w:val="20"/>
                <w:lang w:eastAsia="en-AU" w:bidi="ar-SA"/>
              </w:rPr>
            </w:pPr>
            <w:r>
              <w:rPr>
                <w:sz w:val="20"/>
                <w:szCs w:val="20"/>
                <w:lang w:eastAsia="en-AU" w:bidi="ar-SA"/>
              </w:rPr>
              <w:t>Arsenic mg/kg</w:t>
            </w:r>
          </w:p>
        </w:tc>
        <w:tc>
          <w:tcPr>
            <w:tcW w:w="873" w:type="dxa"/>
          </w:tcPr>
          <w:p w14:paraId="5FD7C1B5" w14:textId="77777777" w:rsidR="00FD54A7" w:rsidRPr="00D61755" w:rsidRDefault="00FD54A7" w:rsidP="009E651B">
            <w:pPr>
              <w:keepNext/>
              <w:widowControl/>
              <w:rPr>
                <w:sz w:val="20"/>
                <w:szCs w:val="20"/>
                <w:lang w:eastAsia="en-AU" w:bidi="ar-SA"/>
              </w:rPr>
            </w:pPr>
            <w:r>
              <w:rPr>
                <w:sz w:val="20"/>
                <w:szCs w:val="20"/>
                <w:lang w:eastAsia="en-AU" w:bidi="ar-SA"/>
              </w:rPr>
              <w:t>-</w:t>
            </w:r>
          </w:p>
        </w:tc>
        <w:tc>
          <w:tcPr>
            <w:tcW w:w="850" w:type="dxa"/>
          </w:tcPr>
          <w:p w14:paraId="732F15EB" w14:textId="77777777" w:rsidR="00FD54A7" w:rsidRPr="00D61755" w:rsidRDefault="00FD54A7" w:rsidP="009E651B">
            <w:pPr>
              <w:keepNext/>
              <w:widowControl/>
              <w:rPr>
                <w:sz w:val="20"/>
                <w:szCs w:val="20"/>
                <w:lang w:eastAsia="en-AU" w:bidi="ar-SA"/>
              </w:rPr>
            </w:pPr>
            <w:r>
              <w:rPr>
                <w:rFonts w:ascii="Cambria Math" w:hAnsi="Cambria Math"/>
                <w:sz w:val="20"/>
                <w:szCs w:val="20"/>
                <w:lang w:eastAsia="en-AU" w:bidi="ar-SA"/>
              </w:rPr>
              <w:t>≯</w:t>
            </w:r>
            <w:r>
              <w:rPr>
                <w:sz w:val="20"/>
                <w:szCs w:val="20"/>
                <w:lang w:eastAsia="en-AU" w:bidi="ar-SA"/>
              </w:rPr>
              <w:t xml:space="preserve"> 3</w:t>
            </w:r>
          </w:p>
        </w:tc>
        <w:tc>
          <w:tcPr>
            <w:tcW w:w="841" w:type="dxa"/>
          </w:tcPr>
          <w:p w14:paraId="7068C384" w14:textId="77777777" w:rsidR="00FD54A7" w:rsidRPr="00D61755" w:rsidRDefault="00FD54A7" w:rsidP="009E651B">
            <w:pPr>
              <w:keepNext/>
              <w:widowControl/>
              <w:rPr>
                <w:sz w:val="20"/>
                <w:szCs w:val="20"/>
                <w:lang w:eastAsia="en-AU" w:bidi="ar-SA"/>
              </w:rPr>
            </w:pPr>
            <w:r>
              <w:rPr>
                <w:rFonts w:ascii="Cambria Math" w:hAnsi="Cambria Math"/>
                <w:sz w:val="20"/>
                <w:szCs w:val="20"/>
                <w:lang w:eastAsia="en-AU" w:bidi="ar-SA"/>
              </w:rPr>
              <w:t>≯</w:t>
            </w:r>
            <w:r>
              <w:rPr>
                <w:sz w:val="20"/>
                <w:szCs w:val="20"/>
                <w:lang w:eastAsia="en-AU" w:bidi="ar-SA"/>
              </w:rPr>
              <w:t xml:space="preserve"> 3</w:t>
            </w:r>
          </w:p>
        </w:tc>
        <w:tc>
          <w:tcPr>
            <w:tcW w:w="3270" w:type="dxa"/>
          </w:tcPr>
          <w:p w14:paraId="7E219590" w14:textId="77777777" w:rsidR="00FD54A7" w:rsidRPr="00D61755" w:rsidRDefault="00FD54A7" w:rsidP="009E651B">
            <w:pPr>
              <w:keepNext/>
              <w:widowControl/>
              <w:rPr>
                <w:sz w:val="20"/>
                <w:szCs w:val="20"/>
                <w:lang w:eastAsia="en-AU" w:bidi="ar-SA"/>
              </w:rPr>
            </w:pPr>
            <w:r>
              <w:rPr>
                <w:sz w:val="20"/>
                <w:szCs w:val="20"/>
                <w:lang w:eastAsia="en-AU" w:bidi="ar-SA"/>
              </w:rPr>
              <w:t>&lt;0.0965, &lt;0.0923, &lt;0.187</w:t>
            </w:r>
          </w:p>
        </w:tc>
      </w:tr>
      <w:tr w:rsidR="00FD54A7" w:rsidRPr="00D61755" w14:paraId="4A7420AA" w14:textId="77777777" w:rsidTr="00CA09DF">
        <w:tc>
          <w:tcPr>
            <w:tcW w:w="3517" w:type="dxa"/>
          </w:tcPr>
          <w:p w14:paraId="1460F939" w14:textId="77777777" w:rsidR="00FD54A7" w:rsidRDefault="00FD54A7" w:rsidP="009E651B">
            <w:pPr>
              <w:keepNext/>
              <w:widowControl/>
              <w:rPr>
                <w:sz w:val="20"/>
                <w:szCs w:val="20"/>
                <w:lang w:eastAsia="en-AU" w:bidi="ar-SA"/>
              </w:rPr>
            </w:pPr>
            <w:r>
              <w:rPr>
                <w:sz w:val="20"/>
                <w:szCs w:val="20"/>
                <w:lang w:eastAsia="en-AU" w:bidi="ar-SA"/>
              </w:rPr>
              <w:t>Cadmium mg/kg</w:t>
            </w:r>
          </w:p>
        </w:tc>
        <w:tc>
          <w:tcPr>
            <w:tcW w:w="873" w:type="dxa"/>
          </w:tcPr>
          <w:p w14:paraId="6745C730" w14:textId="77777777" w:rsidR="00FD54A7" w:rsidRPr="00D61755" w:rsidRDefault="00FD54A7" w:rsidP="009E651B">
            <w:pPr>
              <w:keepNext/>
              <w:widowControl/>
              <w:rPr>
                <w:sz w:val="20"/>
                <w:szCs w:val="20"/>
                <w:lang w:eastAsia="en-AU" w:bidi="ar-SA"/>
              </w:rPr>
            </w:pPr>
            <w:r>
              <w:rPr>
                <w:sz w:val="20"/>
                <w:szCs w:val="20"/>
                <w:lang w:eastAsia="en-AU" w:bidi="ar-SA"/>
              </w:rPr>
              <w:t>-</w:t>
            </w:r>
          </w:p>
        </w:tc>
        <w:tc>
          <w:tcPr>
            <w:tcW w:w="850" w:type="dxa"/>
          </w:tcPr>
          <w:p w14:paraId="7AF76136" w14:textId="77777777" w:rsidR="00FD54A7" w:rsidRPr="00D61755" w:rsidRDefault="00FD54A7" w:rsidP="009E651B">
            <w:pPr>
              <w:keepNext/>
              <w:widowControl/>
              <w:rPr>
                <w:sz w:val="20"/>
                <w:szCs w:val="20"/>
                <w:lang w:eastAsia="en-AU" w:bidi="ar-SA"/>
              </w:rPr>
            </w:pPr>
            <w:r>
              <w:rPr>
                <w:sz w:val="20"/>
                <w:szCs w:val="20"/>
                <w:lang w:eastAsia="en-AU" w:bidi="ar-SA"/>
              </w:rPr>
              <w:t>-</w:t>
            </w:r>
          </w:p>
        </w:tc>
        <w:tc>
          <w:tcPr>
            <w:tcW w:w="841" w:type="dxa"/>
          </w:tcPr>
          <w:p w14:paraId="7F596094" w14:textId="77777777" w:rsidR="00FD54A7" w:rsidRPr="00E42F24" w:rsidRDefault="00FD54A7" w:rsidP="009E651B">
            <w:pPr>
              <w:keepNext/>
              <w:widowControl/>
            </w:pPr>
            <w:r w:rsidRPr="00E42F24">
              <w:rPr>
                <w:rFonts w:ascii="Cambria Math" w:hAnsi="Cambria Math" w:cs="Cambria Math"/>
              </w:rPr>
              <w:t>≯</w:t>
            </w:r>
            <w:r w:rsidRPr="00E42F24">
              <w:t>1</w:t>
            </w:r>
          </w:p>
        </w:tc>
        <w:tc>
          <w:tcPr>
            <w:tcW w:w="3270" w:type="dxa"/>
          </w:tcPr>
          <w:p w14:paraId="22DB19A9" w14:textId="77777777" w:rsidR="00FD54A7" w:rsidRPr="00D61755" w:rsidRDefault="00FD54A7" w:rsidP="009E651B">
            <w:pPr>
              <w:keepNext/>
              <w:widowControl/>
              <w:rPr>
                <w:sz w:val="20"/>
                <w:szCs w:val="20"/>
                <w:lang w:eastAsia="en-AU" w:bidi="ar-SA"/>
              </w:rPr>
            </w:pPr>
            <w:r>
              <w:rPr>
                <w:sz w:val="20"/>
                <w:szCs w:val="20"/>
                <w:lang w:eastAsia="en-AU" w:bidi="ar-SA"/>
              </w:rPr>
              <w:t>&lt;0.0965, &lt;0.0923, &lt;0.187</w:t>
            </w:r>
          </w:p>
        </w:tc>
      </w:tr>
      <w:tr w:rsidR="00FD54A7" w:rsidRPr="00D61755" w14:paraId="3BD9FAE9" w14:textId="77777777" w:rsidTr="00CA09DF">
        <w:tc>
          <w:tcPr>
            <w:tcW w:w="3517" w:type="dxa"/>
          </w:tcPr>
          <w:p w14:paraId="64160368" w14:textId="77777777" w:rsidR="00FD54A7" w:rsidRDefault="00FD54A7" w:rsidP="009E651B">
            <w:pPr>
              <w:keepNext/>
              <w:widowControl/>
              <w:rPr>
                <w:sz w:val="20"/>
                <w:szCs w:val="20"/>
                <w:lang w:eastAsia="en-AU" w:bidi="ar-SA"/>
              </w:rPr>
            </w:pPr>
            <w:r>
              <w:rPr>
                <w:sz w:val="20"/>
                <w:szCs w:val="20"/>
                <w:lang w:eastAsia="en-AU" w:bidi="ar-SA"/>
              </w:rPr>
              <w:t>Mercury mg/kg</w:t>
            </w:r>
          </w:p>
        </w:tc>
        <w:tc>
          <w:tcPr>
            <w:tcW w:w="873" w:type="dxa"/>
          </w:tcPr>
          <w:p w14:paraId="3B8D8AF7" w14:textId="77777777" w:rsidR="00FD54A7" w:rsidRPr="00D61755" w:rsidRDefault="00FD54A7" w:rsidP="009E651B">
            <w:pPr>
              <w:keepNext/>
              <w:widowControl/>
              <w:rPr>
                <w:sz w:val="20"/>
                <w:szCs w:val="20"/>
                <w:lang w:eastAsia="en-AU" w:bidi="ar-SA"/>
              </w:rPr>
            </w:pPr>
            <w:r>
              <w:rPr>
                <w:sz w:val="20"/>
                <w:szCs w:val="20"/>
                <w:lang w:eastAsia="en-AU" w:bidi="ar-SA"/>
              </w:rPr>
              <w:t>-</w:t>
            </w:r>
          </w:p>
        </w:tc>
        <w:tc>
          <w:tcPr>
            <w:tcW w:w="850" w:type="dxa"/>
          </w:tcPr>
          <w:p w14:paraId="40190BEF" w14:textId="77777777" w:rsidR="00FD54A7" w:rsidRPr="00D61755" w:rsidRDefault="00FD54A7" w:rsidP="009E651B">
            <w:pPr>
              <w:keepNext/>
              <w:widowControl/>
              <w:rPr>
                <w:sz w:val="20"/>
                <w:szCs w:val="20"/>
                <w:lang w:eastAsia="en-AU" w:bidi="ar-SA"/>
              </w:rPr>
            </w:pPr>
            <w:r>
              <w:rPr>
                <w:sz w:val="20"/>
                <w:szCs w:val="20"/>
                <w:lang w:eastAsia="en-AU" w:bidi="ar-SA"/>
              </w:rPr>
              <w:t>-</w:t>
            </w:r>
          </w:p>
        </w:tc>
        <w:tc>
          <w:tcPr>
            <w:tcW w:w="841" w:type="dxa"/>
          </w:tcPr>
          <w:p w14:paraId="1BEBA060" w14:textId="77777777" w:rsidR="00FD54A7" w:rsidRDefault="00FD54A7" w:rsidP="009E651B">
            <w:pPr>
              <w:keepNext/>
              <w:widowControl/>
            </w:pPr>
            <w:r w:rsidRPr="00E42F24">
              <w:rPr>
                <w:rFonts w:ascii="Cambria Math" w:hAnsi="Cambria Math" w:cs="Cambria Math"/>
              </w:rPr>
              <w:t>≯</w:t>
            </w:r>
            <w:r w:rsidRPr="00E42F24">
              <w:t>1</w:t>
            </w:r>
          </w:p>
        </w:tc>
        <w:tc>
          <w:tcPr>
            <w:tcW w:w="3270" w:type="dxa"/>
          </w:tcPr>
          <w:p w14:paraId="39744077" w14:textId="77777777" w:rsidR="00FD54A7" w:rsidRPr="00D61755" w:rsidRDefault="00FD54A7" w:rsidP="009E651B">
            <w:pPr>
              <w:keepNext/>
              <w:widowControl/>
              <w:rPr>
                <w:sz w:val="20"/>
                <w:szCs w:val="20"/>
                <w:lang w:eastAsia="en-AU" w:bidi="ar-SA"/>
              </w:rPr>
            </w:pPr>
            <w:r>
              <w:rPr>
                <w:sz w:val="20"/>
                <w:szCs w:val="20"/>
                <w:lang w:eastAsia="en-AU" w:bidi="ar-SA"/>
              </w:rPr>
              <w:t>&lt;0.0914, &lt;0.265, &lt;0.0944</w:t>
            </w:r>
          </w:p>
        </w:tc>
      </w:tr>
    </w:tbl>
    <w:p w14:paraId="347B82C7" w14:textId="77777777" w:rsidR="00FD54A7" w:rsidRDefault="00FD54A7" w:rsidP="009E651B">
      <w:pPr>
        <w:keepNext/>
        <w:widowControl/>
        <w:rPr>
          <w:lang w:eastAsia="en-AU" w:bidi="ar-SA"/>
        </w:rPr>
      </w:pPr>
    </w:p>
    <w:p w14:paraId="0154E6BC" w14:textId="77777777" w:rsidR="00FD54A7" w:rsidRPr="00A1697F" w:rsidRDefault="00FD54A7" w:rsidP="009E651B">
      <w:pPr>
        <w:keepNext/>
        <w:widowControl/>
        <w:rPr>
          <w:sz w:val="20"/>
          <w:szCs w:val="20"/>
          <w:lang w:eastAsia="en-AU" w:bidi="ar-SA"/>
        </w:rPr>
      </w:pPr>
      <w:r w:rsidRPr="00A1697F">
        <w:rPr>
          <w:sz w:val="20"/>
          <w:szCs w:val="20"/>
          <w:lang w:eastAsia="en-AU" w:bidi="ar-SA"/>
        </w:rPr>
        <w:t>Notes</w:t>
      </w:r>
    </w:p>
    <w:p w14:paraId="312476FD" w14:textId="3981BB3A" w:rsidR="00FD54A7" w:rsidRPr="00417958" w:rsidRDefault="00417958" w:rsidP="00417958">
      <w:pPr>
        <w:keepNext/>
        <w:widowControl/>
        <w:ind w:left="567"/>
        <w:rPr>
          <w:sz w:val="20"/>
          <w:szCs w:val="20"/>
          <w:lang w:eastAsia="en-AU" w:bidi="ar-SA"/>
        </w:rPr>
      </w:pPr>
      <w:r>
        <w:rPr>
          <w:sz w:val="20"/>
          <w:szCs w:val="20"/>
          <w:lang w:eastAsia="en-AU" w:bidi="ar-SA"/>
        </w:rPr>
        <w:t>a</w:t>
      </w:r>
      <w:r>
        <w:rPr>
          <w:sz w:val="20"/>
          <w:szCs w:val="20"/>
          <w:lang w:eastAsia="en-AU" w:bidi="ar-SA"/>
        </w:rPr>
        <w:tab/>
      </w:r>
      <w:r w:rsidR="00FD54A7" w:rsidRPr="00417958">
        <w:rPr>
          <w:sz w:val="20"/>
          <w:szCs w:val="20"/>
          <w:lang w:eastAsia="en-AU" w:bidi="ar-SA"/>
        </w:rPr>
        <w:t>Food Chemicals Codex</w:t>
      </w:r>
    </w:p>
    <w:p w14:paraId="5EF5A6B2" w14:textId="42D49048" w:rsidR="00FD54A7" w:rsidRDefault="00417958" w:rsidP="00417958">
      <w:pPr>
        <w:keepNext/>
        <w:widowControl/>
        <w:ind w:left="568"/>
        <w:rPr>
          <w:sz w:val="20"/>
          <w:szCs w:val="20"/>
          <w:lang w:eastAsia="en-AU"/>
        </w:rPr>
      </w:pPr>
      <w:r>
        <w:rPr>
          <w:sz w:val="20"/>
          <w:szCs w:val="20"/>
          <w:lang w:eastAsia="en-AU"/>
        </w:rPr>
        <w:t>b</w:t>
      </w:r>
      <w:r>
        <w:rPr>
          <w:sz w:val="20"/>
          <w:szCs w:val="20"/>
          <w:lang w:eastAsia="en-AU"/>
        </w:rPr>
        <w:tab/>
      </w:r>
      <w:r w:rsidR="00FD54A7" w:rsidRPr="00417958">
        <w:rPr>
          <w:sz w:val="20"/>
          <w:szCs w:val="20"/>
          <w:lang w:eastAsia="en-AU"/>
        </w:rPr>
        <w:t>EU Commission Regulation No 231/2012</w:t>
      </w:r>
    </w:p>
    <w:p w14:paraId="6FAFE84E" w14:textId="0E157315" w:rsidR="002375EF" w:rsidRPr="00417958" w:rsidRDefault="002375EF" w:rsidP="00417958">
      <w:pPr>
        <w:keepNext/>
        <w:widowControl/>
        <w:ind w:left="568"/>
        <w:rPr>
          <w:sz w:val="20"/>
          <w:szCs w:val="20"/>
          <w:lang w:eastAsia="en-AU"/>
        </w:rPr>
      </w:pPr>
      <w:r>
        <w:rPr>
          <w:sz w:val="20"/>
          <w:szCs w:val="20"/>
          <w:lang w:eastAsia="en-AU"/>
        </w:rPr>
        <w:t>c</w:t>
      </w:r>
      <w:r>
        <w:rPr>
          <w:sz w:val="20"/>
          <w:szCs w:val="20"/>
          <w:lang w:eastAsia="en-AU"/>
        </w:rPr>
        <w:tab/>
      </w:r>
      <w:r w:rsidRPr="00D263C6">
        <w:rPr>
          <w:rFonts w:ascii="Cambria Math" w:hAnsi="Cambria Math" w:cs="Cambria Math"/>
          <w:sz w:val="20"/>
          <w:szCs w:val="20"/>
          <w:lang w:eastAsia="en-AU" w:bidi="ar-SA"/>
        </w:rPr>
        <w:t>≯</w:t>
      </w:r>
      <w:r>
        <w:rPr>
          <w:rFonts w:ascii="Cambria Math" w:hAnsi="Cambria Math" w:cs="Cambria Math"/>
          <w:sz w:val="20"/>
          <w:szCs w:val="20"/>
          <w:lang w:eastAsia="en-AU" w:bidi="ar-SA"/>
        </w:rPr>
        <w:t xml:space="preserve"> </w:t>
      </w:r>
      <w:r w:rsidRPr="002375EF">
        <w:rPr>
          <w:sz w:val="20"/>
          <w:szCs w:val="20"/>
          <w:lang w:eastAsia="en-AU"/>
        </w:rPr>
        <w:t xml:space="preserve">= not </w:t>
      </w:r>
      <w:r>
        <w:rPr>
          <w:sz w:val="20"/>
          <w:szCs w:val="20"/>
          <w:lang w:eastAsia="en-AU"/>
        </w:rPr>
        <w:t>more</w:t>
      </w:r>
      <w:r w:rsidRPr="002375EF">
        <w:rPr>
          <w:sz w:val="20"/>
          <w:szCs w:val="20"/>
          <w:lang w:eastAsia="en-AU"/>
        </w:rPr>
        <w:t xml:space="preserve"> than</w:t>
      </w:r>
      <w:r>
        <w:rPr>
          <w:sz w:val="20"/>
          <w:szCs w:val="20"/>
          <w:lang w:eastAsia="en-AU"/>
        </w:rPr>
        <w:t>, in the FCC, written as NMT</w:t>
      </w:r>
    </w:p>
    <w:p w14:paraId="1363A6AE" w14:textId="16A4B114" w:rsidR="00D92DCA" w:rsidRPr="00417958" w:rsidRDefault="006753AE" w:rsidP="00417958">
      <w:pPr>
        <w:keepNext/>
        <w:widowControl/>
        <w:ind w:left="567"/>
        <w:rPr>
          <w:sz w:val="20"/>
          <w:szCs w:val="20"/>
          <w:lang w:eastAsia="en-AU"/>
        </w:rPr>
      </w:pPr>
      <w:r>
        <w:rPr>
          <w:sz w:val="20"/>
          <w:szCs w:val="20"/>
          <w:lang w:eastAsia="en-AU"/>
        </w:rPr>
        <w:t>d</w:t>
      </w:r>
      <w:r w:rsidR="00417958">
        <w:rPr>
          <w:sz w:val="20"/>
          <w:szCs w:val="20"/>
          <w:lang w:eastAsia="en-AU"/>
        </w:rPr>
        <w:tab/>
      </w:r>
      <w:r w:rsidR="00D92DCA" w:rsidRPr="00417958">
        <w:rPr>
          <w:sz w:val="20"/>
          <w:szCs w:val="20"/>
          <w:lang w:eastAsia="en-AU"/>
        </w:rPr>
        <w:t>Residue on ignition</w:t>
      </w:r>
    </w:p>
    <w:p w14:paraId="6493BB04" w14:textId="77777777" w:rsidR="0046288C" w:rsidRPr="0046288C" w:rsidRDefault="0046288C" w:rsidP="0046288C">
      <w:pPr>
        <w:rPr>
          <w:lang w:eastAsia="en-AU" w:bidi="ar-SA"/>
        </w:rPr>
      </w:pPr>
    </w:p>
    <w:p w14:paraId="2E1387AC" w14:textId="7497087F" w:rsidR="00961B2C" w:rsidRDefault="00D102A3" w:rsidP="00060155">
      <w:pPr>
        <w:pStyle w:val="Heading3"/>
      </w:pPr>
      <w:bookmarkStart w:id="29" w:name="_Toc42849595"/>
      <w:bookmarkStart w:id="30" w:name="_Toc46487124"/>
      <w:bookmarkStart w:id="31" w:name="_Toc58251549"/>
      <w:r>
        <w:t>2.1.</w:t>
      </w:r>
      <w:r w:rsidR="0042199F">
        <w:t>4</w:t>
      </w:r>
      <w:r>
        <w:tab/>
        <w:t>Analytical method of detection</w:t>
      </w:r>
      <w:bookmarkEnd w:id="29"/>
      <w:bookmarkEnd w:id="30"/>
      <w:bookmarkEnd w:id="31"/>
    </w:p>
    <w:p w14:paraId="4B37BD53" w14:textId="417BBE68" w:rsidR="00EA369B" w:rsidRDefault="00EA369B" w:rsidP="00EA369B">
      <w:pPr>
        <w:rPr>
          <w:lang w:eastAsia="en-AU" w:bidi="ar-SA"/>
        </w:rPr>
      </w:pPr>
      <w:r>
        <w:rPr>
          <w:lang w:eastAsia="en-AU" w:bidi="ar-SA"/>
        </w:rPr>
        <w:t>The food additive has been permitted as a GMP food additive for many years. Therefore, t</w:t>
      </w:r>
      <w:r w:rsidRPr="00EA369B">
        <w:rPr>
          <w:lang w:eastAsia="en-AU" w:bidi="ar-SA"/>
        </w:rPr>
        <w:t xml:space="preserve">here are widely available methods of analysis for detecting and quantifying mono- and diglycerides </w:t>
      </w:r>
      <w:r>
        <w:rPr>
          <w:lang w:eastAsia="en-AU" w:bidi="ar-SA"/>
        </w:rPr>
        <w:t xml:space="preserve">added to food as well for confirming its </w:t>
      </w:r>
      <w:r w:rsidR="008B1C49">
        <w:rPr>
          <w:lang w:eastAsia="en-AU" w:bidi="ar-SA"/>
        </w:rPr>
        <w:t xml:space="preserve">consistency </w:t>
      </w:r>
      <w:r>
        <w:rPr>
          <w:lang w:eastAsia="en-AU" w:bidi="ar-SA"/>
        </w:rPr>
        <w:t xml:space="preserve">with the purity specifications. </w:t>
      </w:r>
    </w:p>
    <w:p w14:paraId="585C9ECB" w14:textId="758D1E01" w:rsidR="00EA369B" w:rsidRDefault="00EA369B" w:rsidP="00EA369B">
      <w:pPr>
        <w:rPr>
          <w:lang w:eastAsia="en-AU" w:bidi="ar-SA"/>
        </w:rPr>
      </w:pPr>
    </w:p>
    <w:p w14:paraId="41C510FD" w14:textId="0E7714C0" w:rsidR="00EA369B" w:rsidRDefault="00EA369B" w:rsidP="00EA369B">
      <w:pPr>
        <w:rPr>
          <w:lang w:eastAsia="en-AU" w:bidi="ar-SA"/>
        </w:rPr>
      </w:pPr>
      <w:r>
        <w:rPr>
          <w:lang w:eastAsia="en-AU" w:bidi="ar-SA"/>
        </w:rPr>
        <w:t xml:space="preserve">The applicant uses its own in-house analytical method for the determination of total glycerides, alpha-monoglycerides and free glycerol using ultra high-performance liquid chromatography </w:t>
      </w:r>
      <w:r w:rsidR="00D147D9">
        <w:rPr>
          <w:lang w:eastAsia="en-AU" w:bidi="ar-SA"/>
        </w:rPr>
        <w:t>(UHPLC) with an evaporative light scattering detector (</w:t>
      </w:r>
      <w:r>
        <w:rPr>
          <w:lang w:eastAsia="en-AU" w:bidi="ar-SA"/>
        </w:rPr>
        <w:t>ELSD</w:t>
      </w:r>
      <w:r w:rsidR="00D147D9">
        <w:rPr>
          <w:lang w:eastAsia="en-AU" w:bidi="ar-SA"/>
        </w:rPr>
        <w:t>).</w:t>
      </w:r>
    </w:p>
    <w:p w14:paraId="0963C7DF" w14:textId="77777777" w:rsidR="00F3529A" w:rsidRDefault="00F3529A" w:rsidP="00EA369B">
      <w:pPr>
        <w:rPr>
          <w:lang w:eastAsia="en-AU" w:bidi="ar-SA"/>
        </w:rPr>
      </w:pPr>
    </w:p>
    <w:p w14:paraId="19803B69" w14:textId="3CC499E0" w:rsidR="00961B2C" w:rsidRDefault="00961B2C" w:rsidP="009E1FF4">
      <w:pPr>
        <w:pStyle w:val="Heading2"/>
        <w:rPr>
          <w:lang w:eastAsia="en-AU"/>
        </w:rPr>
      </w:pPr>
      <w:bookmarkStart w:id="32" w:name="_Toc42849596"/>
      <w:bookmarkStart w:id="33" w:name="_Toc46487125"/>
      <w:bookmarkStart w:id="34" w:name="_Toc58251550"/>
      <w:r>
        <w:rPr>
          <w:lang w:eastAsia="en-AU"/>
        </w:rPr>
        <w:t>2.2</w:t>
      </w:r>
      <w:r>
        <w:rPr>
          <w:lang w:eastAsia="en-AU"/>
        </w:rPr>
        <w:tab/>
        <w:t>Manufacturing process</w:t>
      </w:r>
      <w:bookmarkEnd w:id="32"/>
      <w:bookmarkEnd w:id="33"/>
      <w:bookmarkEnd w:id="34"/>
    </w:p>
    <w:p w14:paraId="3B033A2B" w14:textId="6CC857C6" w:rsidR="005F2819" w:rsidRDefault="005F2819" w:rsidP="005F2819">
      <w:pPr>
        <w:rPr>
          <w:lang w:eastAsia="en-AU" w:bidi="ar-SA"/>
        </w:rPr>
      </w:pPr>
      <w:r>
        <w:rPr>
          <w:lang w:eastAsia="en-AU" w:bidi="ar-SA"/>
        </w:rPr>
        <w:t xml:space="preserve">The details on the manufacturing process to produce the food additive is provided in the application. </w:t>
      </w:r>
      <w:r w:rsidRPr="003637D7">
        <w:rPr>
          <w:lang w:eastAsia="en-AU" w:bidi="ar-SA"/>
        </w:rPr>
        <w:t>Mono- and diglycerides of fatty acids are produced from heating oils or fats with excess glycerol, or by</w:t>
      </w:r>
      <w:r>
        <w:rPr>
          <w:lang w:eastAsia="en-AU" w:bidi="ar-SA"/>
        </w:rPr>
        <w:t xml:space="preserve"> </w:t>
      </w:r>
      <w:r w:rsidRPr="003637D7">
        <w:rPr>
          <w:lang w:eastAsia="en-AU" w:bidi="ar-SA"/>
        </w:rPr>
        <w:t>direct esterificati</w:t>
      </w:r>
      <w:r>
        <w:rPr>
          <w:lang w:eastAsia="en-AU" w:bidi="ar-SA"/>
        </w:rPr>
        <w:t>on of glycerol with fatty acids (</w:t>
      </w:r>
      <w:r w:rsidRPr="00D92DCA">
        <w:rPr>
          <w:lang w:eastAsia="en-AU" w:bidi="ar-SA"/>
        </w:rPr>
        <w:t>EFEMA 2015).</w:t>
      </w:r>
    </w:p>
    <w:p w14:paraId="5CDC4170" w14:textId="10529CEC" w:rsidR="00351228" w:rsidRDefault="00351228" w:rsidP="005F2819">
      <w:pPr>
        <w:rPr>
          <w:lang w:eastAsia="en-AU" w:bidi="ar-SA"/>
        </w:rPr>
      </w:pPr>
    </w:p>
    <w:p w14:paraId="4C5AC753" w14:textId="59590C8D" w:rsidR="00351228" w:rsidRDefault="00351228" w:rsidP="005F2819">
      <w:pPr>
        <w:rPr>
          <w:szCs w:val="22"/>
        </w:rPr>
      </w:pPr>
      <w:r>
        <w:rPr>
          <w:szCs w:val="22"/>
        </w:rPr>
        <w:t>The proportion of monoester thus produced is dependent on the proportion of glycerol and the temperature of reaction and is usually in the range of 30-60%. Products with more than 90% monoester content are produced by high vacuum distillation or other techniques.</w:t>
      </w:r>
    </w:p>
    <w:p w14:paraId="48436167" w14:textId="222C67A8" w:rsidR="006D1C19" w:rsidRDefault="006D1C19" w:rsidP="005F2819">
      <w:pPr>
        <w:rPr>
          <w:lang w:eastAsia="en-AU" w:bidi="ar-SA"/>
        </w:rPr>
      </w:pPr>
    </w:p>
    <w:p w14:paraId="1C916429" w14:textId="2C31EA53" w:rsidR="006D1C19" w:rsidRDefault="006D1C19" w:rsidP="005F2819">
      <w:pPr>
        <w:rPr>
          <w:lang w:eastAsia="en-AU" w:bidi="ar-SA"/>
        </w:rPr>
      </w:pPr>
      <w:r>
        <w:rPr>
          <w:lang w:eastAsia="en-AU" w:bidi="ar-SA"/>
        </w:rPr>
        <w:lastRenderedPageBreak/>
        <w:t xml:space="preserve">The applicant’s mono- and diglycerides of fatty acids are derived only from plants, and not animal sources of fats and oils. </w:t>
      </w:r>
      <w:r w:rsidR="00F8194A">
        <w:rPr>
          <w:lang w:eastAsia="en-AU" w:bidi="ar-SA"/>
        </w:rPr>
        <w:t>That is not the case for specifications of mono- and diglycerides of fatty acids where no distinction is made relating to the source of the fats and oils.</w:t>
      </w:r>
    </w:p>
    <w:p w14:paraId="11F73B23" w14:textId="77777777" w:rsidR="00874B2E" w:rsidRDefault="00874B2E" w:rsidP="005F2819">
      <w:pPr>
        <w:rPr>
          <w:lang w:eastAsia="en-AU" w:bidi="ar-SA"/>
        </w:rPr>
      </w:pPr>
    </w:p>
    <w:p w14:paraId="4BF79809" w14:textId="16DD7AEE" w:rsidR="0046288C" w:rsidRDefault="0046288C" w:rsidP="009E1FF4">
      <w:pPr>
        <w:pStyle w:val="Heading2"/>
      </w:pPr>
      <w:bookmarkStart w:id="35" w:name="_Toc42849597"/>
      <w:bookmarkStart w:id="36" w:name="_Toc46487126"/>
      <w:bookmarkStart w:id="37" w:name="_Toc58251551"/>
      <w:r>
        <w:t>2.3</w:t>
      </w:r>
      <w:r>
        <w:tab/>
        <w:t>Technological purpose of the food additive</w:t>
      </w:r>
      <w:bookmarkEnd w:id="35"/>
      <w:bookmarkEnd w:id="36"/>
      <w:bookmarkEnd w:id="37"/>
    </w:p>
    <w:p w14:paraId="4C010705" w14:textId="26691A2E" w:rsidR="00351228" w:rsidRDefault="00351228" w:rsidP="00351228">
      <w:pPr>
        <w:rPr>
          <w:lang w:eastAsia="en-AU" w:bidi="ar-SA"/>
        </w:rPr>
      </w:pPr>
      <w:r>
        <w:rPr>
          <w:lang w:eastAsia="en-AU" w:bidi="ar-SA"/>
        </w:rPr>
        <w:t xml:space="preserve">The technological purposes of the food additive is listed by the Codex Alimentarius guidance document CXG 36-1989 as: antifoaming agent, emulsifier, glazing agent and stabiliser. Section 1.1.2—11 </w:t>
      </w:r>
      <w:r w:rsidR="00040D68">
        <w:rPr>
          <w:lang w:eastAsia="en-AU" w:bidi="ar-SA"/>
        </w:rPr>
        <w:t xml:space="preserve">of the Code </w:t>
      </w:r>
      <w:r>
        <w:rPr>
          <w:lang w:eastAsia="en-AU" w:bidi="ar-SA"/>
        </w:rPr>
        <w:t>requires that food additives (substances ‘used as a food additive’) perform one or more of the technological purposes listed in Schedule 14, which includes emulsifier, glazing agent and stabiliser.</w:t>
      </w:r>
    </w:p>
    <w:p w14:paraId="3B1E8B3F" w14:textId="77777777" w:rsidR="00351228" w:rsidRDefault="00351228" w:rsidP="005F2819">
      <w:pPr>
        <w:rPr>
          <w:lang w:eastAsia="en-AU" w:bidi="ar-SA"/>
        </w:rPr>
      </w:pPr>
    </w:p>
    <w:p w14:paraId="7F70DE35" w14:textId="0254E13E" w:rsidR="005F2819" w:rsidRDefault="005F2819" w:rsidP="005F2819">
      <w:pPr>
        <w:rPr>
          <w:lang w:eastAsia="en-AU" w:bidi="ar-SA"/>
        </w:rPr>
      </w:pPr>
      <w:r>
        <w:rPr>
          <w:lang w:eastAsia="en-AU" w:bidi="ar-SA"/>
        </w:rPr>
        <w:t xml:space="preserve">The technological purpose </w:t>
      </w:r>
      <w:r w:rsidR="00351228">
        <w:rPr>
          <w:lang w:eastAsia="en-AU" w:bidi="ar-SA"/>
        </w:rPr>
        <w:t xml:space="preserve">relevant to the application is </w:t>
      </w:r>
      <w:r>
        <w:rPr>
          <w:lang w:eastAsia="en-AU" w:bidi="ar-SA"/>
        </w:rPr>
        <w:t>for the extension of use of the food additive to perform the technological purpose of a ‘glazing agent’ as defined in Schedule 14. That is, the food additive ‘imparts a coating to the external surface of a food’. In the case of this application the treated food is fresh fruits and vegetables. The reason for applying a surface coating to fresh fruits and vegetables is to extend the commercial she</w:t>
      </w:r>
      <w:r w:rsidR="00E06311">
        <w:rPr>
          <w:lang w:eastAsia="en-AU" w:bidi="ar-SA"/>
        </w:rPr>
        <w:t>lf life of the treated produce.</w:t>
      </w:r>
    </w:p>
    <w:p w14:paraId="28098759" w14:textId="77777777" w:rsidR="005F2819" w:rsidRDefault="005F2819" w:rsidP="005F2819">
      <w:pPr>
        <w:rPr>
          <w:lang w:eastAsia="en-AU" w:bidi="ar-SA"/>
        </w:rPr>
      </w:pPr>
    </w:p>
    <w:p w14:paraId="109A3C86" w14:textId="2A5EFB65" w:rsidR="005F2819" w:rsidRDefault="005F2819" w:rsidP="005F2819">
      <w:pPr>
        <w:rPr>
          <w:lang w:eastAsia="en-AU" w:bidi="ar-SA"/>
        </w:rPr>
      </w:pPr>
      <w:r>
        <w:rPr>
          <w:lang w:eastAsia="en-AU" w:bidi="ar-SA"/>
        </w:rPr>
        <w:t xml:space="preserve">Once fresh untreated fruits and vegetables are harvested they </w:t>
      </w:r>
      <w:r w:rsidR="005F326D">
        <w:rPr>
          <w:lang w:eastAsia="en-AU" w:bidi="ar-SA"/>
        </w:rPr>
        <w:t>are subject to</w:t>
      </w:r>
      <w:r>
        <w:rPr>
          <w:lang w:eastAsia="en-AU" w:bidi="ar-SA"/>
        </w:rPr>
        <w:t xml:space="preserve"> a range of different processes that ultimately lead to an end of their shelf life. These processes include a loss of moisture, tissue softening (due to ripening)</w:t>
      </w:r>
      <w:r w:rsidR="00ED0A65">
        <w:rPr>
          <w:lang w:eastAsia="en-AU" w:bidi="ar-SA"/>
        </w:rPr>
        <w:t>,</w:t>
      </w:r>
      <w:r>
        <w:rPr>
          <w:lang w:eastAsia="en-AU" w:bidi="ar-SA"/>
        </w:rPr>
        <w:t xml:space="preserve"> which leads to visual deterioration, a breakdown of cell materials due to respiration, a reduction in inherent volatile flavour compounds that are characteristic of the product with sometimes the formation of other unacceptable flavour compounds and a decrease in organic acid levels.</w:t>
      </w:r>
    </w:p>
    <w:p w14:paraId="08109655" w14:textId="77777777" w:rsidR="005F2819" w:rsidRDefault="005F2819" w:rsidP="005F2819">
      <w:pPr>
        <w:rPr>
          <w:lang w:eastAsia="en-AU" w:bidi="ar-SA"/>
        </w:rPr>
      </w:pPr>
    </w:p>
    <w:p w14:paraId="7F63F073" w14:textId="004CD351" w:rsidR="005F2819" w:rsidRDefault="005F2819" w:rsidP="005F2819">
      <w:pPr>
        <w:rPr>
          <w:lang w:eastAsia="en-AU" w:bidi="ar-SA"/>
        </w:rPr>
      </w:pPr>
      <w:r>
        <w:rPr>
          <w:lang w:eastAsia="en-AU" w:bidi="ar-SA"/>
        </w:rPr>
        <w:t xml:space="preserve">Relevant parameters linked to extending shelf life of such products are to preserve the quality and maintain acceptable appearance of the product so it is still desired by consumers. Extending the shelf life of food is always an ongoing </w:t>
      </w:r>
      <w:r w:rsidR="004022E4">
        <w:rPr>
          <w:lang w:eastAsia="en-AU" w:bidi="ar-SA"/>
        </w:rPr>
        <w:t xml:space="preserve">challenge </w:t>
      </w:r>
      <w:r>
        <w:rPr>
          <w:lang w:eastAsia="en-AU" w:bidi="ar-SA"/>
        </w:rPr>
        <w:t>for all parts of the food supply chain as it has major benefits for all sectors. These main benefits are:</w:t>
      </w:r>
    </w:p>
    <w:p w14:paraId="380C671C" w14:textId="77777777" w:rsidR="005F2819" w:rsidRDefault="005F2819" w:rsidP="005F2819">
      <w:pPr>
        <w:rPr>
          <w:lang w:eastAsia="en-AU" w:bidi="ar-SA"/>
        </w:rPr>
      </w:pPr>
    </w:p>
    <w:p w14:paraId="4EDC7669" w14:textId="77777777" w:rsidR="005F2819" w:rsidRDefault="005F2819" w:rsidP="005F2819">
      <w:pPr>
        <w:pStyle w:val="ListParagraph"/>
        <w:numPr>
          <w:ilvl w:val="0"/>
          <w:numId w:val="6"/>
        </w:numPr>
        <w:ind w:left="567" w:hanging="567"/>
        <w:rPr>
          <w:lang w:eastAsia="en-AU" w:bidi="ar-SA"/>
        </w:rPr>
      </w:pPr>
      <w:r>
        <w:rPr>
          <w:lang w:eastAsia="en-AU" w:bidi="ar-SA"/>
        </w:rPr>
        <w:t>to maintain the quality (includes appearance) and nutritional value</w:t>
      </w:r>
    </w:p>
    <w:p w14:paraId="7AB780CB" w14:textId="309D7E39" w:rsidR="005F2819" w:rsidRDefault="005F2819" w:rsidP="005F2819">
      <w:pPr>
        <w:pStyle w:val="ListParagraph"/>
        <w:numPr>
          <w:ilvl w:val="0"/>
          <w:numId w:val="6"/>
        </w:numPr>
        <w:ind w:left="567" w:hanging="567"/>
        <w:rPr>
          <w:lang w:eastAsia="en-AU" w:bidi="ar-SA"/>
        </w:rPr>
      </w:pPr>
      <w:r>
        <w:rPr>
          <w:lang w:eastAsia="en-AU" w:bidi="ar-SA"/>
        </w:rPr>
        <w:t>to reduce wastage of product that is no longer commercially acceptable</w:t>
      </w:r>
    </w:p>
    <w:p w14:paraId="6CD4E61A" w14:textId="77777777" w:rsidR="005F2819" w:rsidRDefault="005F2819" w:rsidP="005F2819">
      <w:pPr>
        <w:pStyle w:val="ListParagraph"/>
        <w:numPr>
          <w:ilvl w:val="0"/>
          <w:numId w:val="6"/>
        </w:numPr>
        <w:ind w:left="567" w:hanging="567"/>
        <w:rPr>
          <w:lang w:eastAsia="en-AU" w:bidi="ar-SA"/>
        </w:rPr>
      </w:pPr>
      <w:r>
        <w:rPr>
          <w:lang w:eastAsia="en-AU" w:bidi="ar-SA"/>
        </w:rPr>
        <w:t>to provide a gas barrier, to limit gas exchange, both in and out of the product</w:t>
      </w:r>
    </w:p>
    <w:p w14:paraId="3E8C651D" w14:textId="573AE5BD" w:rsidR="005F2819" w:rsidRDefault="005F2819" w:rsidP="005F2819">
      <w:pPr>
        <w:pStyle w:val="ListParagraph"/>
        <w:numPr>
          <w:ilvl w:val="0"/>
          <w:numId w:val="6"/>
        </w:numPr>
        <w:ind w:left="567" w:hanging="567"/>
        <w:rPr>
          <w:lang w:eastAsia="en-AU" w:bidi="ar-SA"/>
        </w:rPr>
      </w:pPr>
      <w:r>
        <w:rPr>
          <w:lang w:eastAsia="en-AU" w:bidi="ar-SA"/>
        </w:rPr>
        <w:t>to reduce water loss which causes shrinkage.</w:t>
      </w:r>
    </w:p>
    <w:p w14:paraId="098C5FAD" w14:textId="77777777" w:rsidR="00874B2E" w:rsidRDefault="00874B2E" w:rsidP="005F4FEF">
      <w:pPr>
        <w:pStyle w:val="ListParagraph"/>
        <w:ind w:left="567"/>
        <w:rPr>
          <w:lang w:eastAsia="en-AU" w:bidi="ar-SA"/>
        </w:rPr>
      </w:pPr>
    </w:p>
    <w:p w14:paraId="1F774805" w14:textId="77777777" w:rsidR="0046288C" w:rsidRDefault="0046288C" w:rsidP="009E1FF4">
      <w:pPr>
        <w:pStyle w:val="Heading2"/>
      </w:pPr>
      <w:bookmarkStart w:id="38" w:name="_Toc42849598"/>
      <w:bookmarkStart w:id="39" w:name="_Toc46487127"/>
      <w:bookmarkStart w:id="40" w:name="_Toc58251552"/>
      <w:r>
        <w:lastRenderedPageBreak/>
        <w:t>2.4</w:t>
      </w:r>
      <w:r>
        <w:tab/>
        <w:t>Technological justification of the food additive</w:t>
      </w:r>
      <w:bookmarkEnd w:id="38"/>
      <w:bookmarkEnd w:id="39"/>
      <w:bookmarkEnd w:id="40"/>
    </w:p>
    <w:p w14:paraId="3E12BA2A" w14:textId="20C13791" w:rsidR="005F2819" w:rsidRDefault="005F2819" w:rsidP="005F2819">
      <w:pPr>
        <w:rPr>
          <w:lang w:eastAsia="en-AU" w:bidi="ar-SA"/>
        </w:rPr>
      </w:pPr>
      <w:r>
        <w:rPr>
          <w:lang w:eastAsia="en-AU" w:bidi="ar-SA"/>
        </w:rPr>
        <w:t>Currently waxes and resins are permitted to be used as glazing agents for fresh fruits and vegetables</w:t>
      </w:r>
      <w:r w:rsidR="00813A73">
        <w:rPr>
          <w:lang w:eastAsia="en-AU" w:bidi="ar-SA"/>
        </w:rPr>
        <w:t xml:space="preserve"> around the world</w:t>
      </w:r>
      <w:r w:rsidR="00040D68">
        <w:rPr>
          <w:lang w:eastAsia="en-AU" w:bidi="ar-SA"/>
        </w:rPr>
        <w:t>,</w:t>
      </w:r>
      <w:r w:rsidR="00813A73">
        <w:rPr>
          <w:lang w:eastAsia="en-AU" w:bidi="ar-SA"/>
        </w:rPr>
        <w:t xml:space="preserve"> including in Australia and New Zealand due to permissions in the Code.</w:t>
      </w:r>
      <w:r>
        <w:rPr>
          <w:lang w:eastAsia="en-AU" w:bidi="ar-SA"/>
        </w:rPr>
        <w:t xml:space="preserve"> However, there are some more fragile and delicate fruits and vegetables, such as berries, that are not appropriate to coat with such agents. </w:t>
      </w:r>
      <w:r w:rsidR="00813A73">
        <w:rPr>
          <w:lang w:eastAsia="en-AU" w:bidi="ar-SA"/>
        </w:rPr>
        <w:t>That is,</w:t>
      </w:r>
      <w:r>
        <w:rPr>
          <w:lang w:eastAsia="en-AU" w:bidi="ar-SA"/>
        </w:rPr>
        <w:t xml:space="preserve"> they cannot withstand the coating process using a rough brush-bed surface or the considerable heat needed to be applied to dry or set the wax or resin.</w:t>
      </w:r>
    </w:p>
    <w:p w14:paraId="6F7CA8A2" w14:textId="77777777" w:rsidR="005F2819" w:rsidRDefault="005F2819" w:rsidP="005F2819">
      <w:pPr>
        <w:rPr>
          <w:lang w:eastAsia="en-AU" w:bidi="ar-SA"/>
        </w:rPr>
      </w:pPr>
    </w:p>
    <w:p w14:paraId="1C5E44B7" w14:textId="0D7CAA07" w:rsidR="005F2819" w:rsidRDefault="00CA3BD9" w:rsidP="005F2819">
      <w:pPr>
        <w:rPr>
          <w:lang w:eastAsia="en-AU" w:bidi="ar-SA"/>
        </w:rPr>
      </w:pPr>
      <w:r w:rsidRPr="00CA3BD9">
        <w:rPr>
          <w:lang w:eastAsia="en-AU" w:bidi="ar-SA"/>
        </w:rPr>
        <w:t>Mono- and diglycerides of fatty acids</w:t>
      </w:r>
      <w:r w:rsidRPr="00CA3BD9" w:rsidDel="00CA3BD9">
        <w:rPr>
          <w:lang w:eastAsia="en-AU" w:bidi="ar-SA"/>
        </w:rPr>
        <w:t xml:space="preserve"> </w:t>
      </w:r>
      <w:r w:rsidR="005F2819">
        <w:rPr>
          <w:lang w:eastAsia="en-AU" w:bidi="ar-SA"/>
        </w:rPr>
        <w:t>however can be readily applied to a wider range of fresh fruits and vegetables, as different types of coating techniques can be tailored for the specific product</w:t>
      </w:r>
      <w:r w:rsidR="005F2819" w:rsidRPr="00E06311">
        <w:rPr>
          <w:lang w:eastAsia="en-AU" w:bidi="ar-SA"/>
        </w:rPr>
        <w:t xml:space="preserve">. </w:t>
      </w:r>
      <w:r w:rsidR="001B6D03">
        <w:rPr>
          <w:lang w:eastAsia="en-AU" w:bidi="ar-SA"/>
        </w:rPr>
        <w:t xml:space="preserve">The surface of fragile fruits or vegetables can be </w:t>
      </w:r>
      <w:r w:rsidR="0026110F" w:rsidRPr="0026110F">
        <w:rPr>
          <w:lang w:eastAsia="en-AU" w:bidi="ar-SA"/>
        </w:rPr>
        <w:t>spray</w:t>
      </w:r>
      <w:r w:rsidR="001B6D03">
        <w:rPr>
          <w:lang w:eastAsia="en-AU" w:bidi="ar-SA"/>
        </w:rPr>
        <w:t xml:space="preserve">ed or </w:t>
      </w:r>
      <w:r w:rsidR="0092358E">
        <w:rPr>
          <w:lang w:eastAsia="en-AU" w:bidi="ar-SA"/>
        </w:rPr>
        <w:t>dipp</w:t>
      </w:r>
      <w:r w:rsidR="001B6D03">
        <w:rPr>
          <w:lang w:eastAsia="en-AU" w:bidi="ar-SA"/>
        </w:rPr>
        <w:t>ed</w:t>
      </w:r>
      <w:r w:rsidR="0092358E">
        <w:rPr>
          <w:lang w:eastAsia="en-AU" w:bidi="ar-SA"/>
        </w:rPr>
        <w:t xml:space="preserve"> </w:t>
      </w:r>
      <w:r w:rsidR="001B6D03">
        <w:rPr>
          <w:lang w:eastAsia="en-AU" w:bidi="ar-SA"/>
        </w:rPr>
        <w:t xml:space="preserve">with an aqueous solution of </w:t>
      </w:r>
      <w:r w:rsidR="006D1C19" w:rsidRPr="0026110F">
        <w:rPr>
          <w:lang w:eastAsia="en-AU" w:bidi="ar-SA"/>
        </w:rPr>
        <w:t xml:space="preserve">mono- and diglycerides of fatty acids </w:t>
      </w:r>
      <w:r w:rsidR="0026110F" w:rsidRPr="0026110F">
        <w:rPr>
          <w:lang w:eastAsia="en-AU" w:bidi="ar-SA"/>
        </w:rPr>
        <w:t xml:space="preserve">that can be more readily used compared to waxes and resins. </w:t>
      </w:r>
      <w:r w:rsidR="006D1C19">
        <w:rPr>
          <w:lang w:eastAsia="en-AU" w:bidi="ar-SA"/>
        </w:rPr>
        <w:t xml:space="preserve">The mono- and diglycerides of fatty acids are colourless, odourless and tasteless when applied to the surface of treated fruits and vegetables, similar to currently permitted waxes and resins. </w:t>
      </w:r>
      <w:r w:rsidR="005F2819">
        <w:rPr>
          <w:lang w:eastAsia="en-AU" w:bidi="ar-SA"/>
        </w:rPr>
        <w:t xml:space="preserve">The applicant has performed efficacy studies on more than 30 fresh fruits and vegetables demonstrating shelf life extensions and superior performance </w:t>
      </w:r>
      <w:r w:rsidR="0092358E">
        <w:rPr>
          <w:lang w:eastAsia="en-AU" w:bidi="ar-SA"/>
        </w:rPr>
        <w:t xml:space="preserve">(visually assessed) </w:t>
      </w:r>
      <w:r w:rsidR="005F2819">
        <w:rPr>
          <w:lang w:eastAsia="en-AU" w:bidi="ar-SA"/>
        </w:rPr>
        <w:t xml:space="preserve">compared to alternative </w:t>
      </w:r>
      <w:r w:rsidR="0092358E">
        <w:rPr>
          <w:lang w:eastAsia="en-AU" w:bidi="ar-SA"/>
        </w:rPr>
        <w:t>commercial glazing agents</w:t>
      </w:r>
      <w:r w:rsidR="005F2819">
        <w:rPr>
          <w:lang w:eastAsia="en-AU" w:bidi="ar-SA"/>
        </w:rPr>
        <w:t xml:space="preserve">. Visual time lapse studies of these treated products are available on the applicant’s website. The details of studies for some of the products, being asparagus, lemons and avocados are </w:t>
      </w:r>
      <w:r w:rsidR="00813A73">
        <w:rPr>
          <w:lang w:eastAsia="en-AU" w:bidi="ar-SA"/>
        </w:rPr>
        <w:t>also provided in the application.</w:t>
      </w:r>
      <w:r w:rsidR="005F2819">
        <w:rPr>
          <w:lang w:eastAsia="en-AU" w:bidi="ar-SA"/>
        </w:rPr>
        <w:t xml:space="preserve"> The results of these efficacy studies have been assessed and are summarised </w:t>
      </w:r>
      <w:r w:rsidR="005F2819" w:rsidRPr="00F625AC">
        <w:rPr>
          <w:lang w:eastAsia="en-AU" w:bidi="ar-SA"/>
        </w:rPr>
        <w:t xml:space="preserve">in </w:t>
      </w:r>
      <w:r w:rsidR="003065F2" w:rsidRPr="003065F2">
        <w:rPr>
          <w:lang w:eastAsia="en-AU" w:bidi="ar-SA"/>
        </w:rPr>
        <w:fldChar w:fldCharType="begin"/>
      </w:r>
      <w:r w:rsidR="003065F2" w:rsidRPr="003065F2">
        <w:rPr>
          <w:lang w:eastAsia="en-AU" w:bidi="ar-SA"/>
        </w:rPr>
        <w:instrText xml:space="preserve"> REF _Ref45892519 \h </w:instrText>
      </w:r>
      <w:r w:rsidR="003065F2" w:rsidRPr="001C6242">
        <w:rPr>
          <w:lang w:eastAsia="en-AU" w:bidi="ar-SA"/>
        </w:rPr>
        <w:instrText xml:space="preserve"> \* MERGEFORMAT </w:instrText>
      </w:r>
      <w:r w:rsidR="003065F2" w:rsidRPr="003065F2">
        <w:rPr>
          <w:lang w:eastAsia="en-AU" w:bidi="ar-SA"/>
        </w:rPr>
      </w:r>
      <w:r w:rsidR="003065F2" w:rsidRPr="003065F2">
        <w:rPr>
          <w:lang w:eastAsia="en-AU" w:bidi="ar-SA"/>
        </w:rPr>
        <w:fldChar w:fldCharType="separate"/>
      </w:r>
      <w:r w:rsidR="00515ADA" w:rsidRPr="00515ADA">
        <w:t xml:space="preserve">Table </w:t>
      </w:r>
      <w:r w:rsidR="00515ADA" w:rsidRPr="00515ADA">
        <w:rPr>
          <w:noProof/>
        </w:rPr>
        <w:t>3</w:t>
      </w:r>
      <w:r w:rsidR="003065F2" w:rsidRPr="003065F2">
        <w:rPr>
          <w:lang w:eastAsia="en-AU" w:bidi="ar-SA"/>
        </w:rPr>
        <w:fldChar w:fldCharType="end"/>
      </w:r>
      <w:r w:rsidR="00E06311">
        <w:rPr>
          <w:lang w:eastAsia="en-AU" w:bidi="ar-SA"/>
        </w:rPr>
        <w:t>.</w:t>
      </w:r>
      <w:r w:rsidR="006753AE">
        <w:rPr>
          <w:lang w:eastAsia="en-AU" w:bidi="ar-SA"/>
        </w:rPr>
        <w:t xml:space="preserve"> As can be readily seem from these studies, treatment with mono- and diglycerides of fatty acids as a glazing agent on various fresh fruits and vegetables provides superior shelf life compared to untreated and conventional wax treatment.</w:t>
      </w:r>
    </w:p>
    <w:p w14:paraId="677EEFAD" w14:textId="77777777" w:rsidR="0046288C" w:rsidRDefault="0046288C" w:rsidP="00961B2C">
      <w:pPr>
        <w:rPr>
          <w:lang w:eastAsia="en-AU" w:bidi="ar-SA"/>
        </w:rPr>
      </w:pPr>
    </w:p>
    <w:p w14:paraId="0BBDBFD4" w14:textId="77777777" w:rsidR="00813A73" w:rsidRDefault="00813A73" w:rsidP="00813A73">
      <w:pPr>
        <w:rPr>
          <w:lang w:eastAsia="en-AU" w:bidi="ar-SA"/>
        </w:rPr>
      </w:pPr>
      <w:r>
        <w:rPr>
          <w:lang w:eastAsia="en-AU" w:bidi="ar-SA"/>
        </w:rPr>
        <w:t>The levels of use of the food additive as glazing agents on the different fresh fruits and vegetables is GMP, as the levels will vary on the different produce treated as well as the seasonality, variety, climatic conditions and the desired shelf life extension. Therefore the use levels will be determined by the individual processor to meet their requirements. GMP is also the limit of use for the food additive to treat fresh fruits and vegetables in the Codex General Standard for Food Additives.</w:t>
      </w:r>
    </w:p>
    <w:p w14:paraId="0974E4C9" w14:textId="77777777" w:rsidR="00813A73" w:rsidRDefault="00813A73" w:rsidP="00813A73">
      <w:pPr>
        <w:rPr>
          <w:lang w:eastAsia="en-AU" w:bidi="ar-SA"/>
        </w:rPr>
      </w:pPr>
    </w:p>
    <w:p w14:paraId="6479B268" w14:textId="266CC6EE" w:rsidR="00813A73" w:rsidRPr="00E06311" w:rsidRDefault="003065F2" w:rsidP="001C6242">
      <w:pPr>
        <w:pStyle w:val="Caption"/>
        <w:ind w:left="1134" w:hanging="1134"/>
        <w:rPr>
          <w:color w:val="auto"/>
          <w:sz w:val="22"/>
          <w:szCs w:val="22"/>
          <w:lang w:eastAsia="en-AU"/>
        </w:rPr>
      </w:pPr>
      <w:bookmarkStart w:id="41" w:name="_Ref45892519"/>
      <w:r w:rsidRPr="00F3529A">
        <w:rPr>
          <w:b/>
          <w:color w:val="auto"/>
          <w:sz w:val="22"/>
          <w:szCs w:val="22"/>
        </w:rPr>
        <w:t xml:space="preserve">Table </w:t>
      </w:r>
      <w:r w:rsidR="006B2A3A">
        <w:rPr>
          <w:b/>
          <w:color w:val="auto"/>
          <w:sz w:val="22"/>
          <w:szCs w:val="22"/>
        </w:rPr>
        <w:fldChar w:fldCharType="begin"/>
      </w:r>
      <w:r w:rsidR="006B2A3A">
        <w:rPr>
          <w:b/>
          <w:color w:val="auto"/>
          <w:sz w:val="22"/>
          <w:szCs w:val="22"/>
        </w:rPr>
        <w:instrText xml:space="preserve"> SEQ Table \* ARABIC </w:instrText>
      </w:r>
      <w:r w:rsidR="006B2A3A">
        <w:rPr>
          <w:b/>
          <w:color w:val="auto"/>
          <w:sz w:val="22"/>
          <w:szCs w:val="22"/>
        </w:rPr>
        <w:fldChar w:fldCharType="separate"/>
      </w:r>
      <w:r w:rsidR="00515ADA">
        <w:rPr>
          <w:b/>
          <w:noProof/>
          <w:color w:val="auto"/>
          <w:sz w:val="22"/>
          <w:szCs w:val="22"/>
        </w:rPr>
        <w:t>3</w:t>
      </w:r>
      <w:r w:rsidR="006B2A3A">
        <w:rPr>
          <w:b/>
          <w:color w:val="auto"/>
          <w:sz w:val="22"/>
          <w:szCs w:val="22"/>
        </w:rPr>
        <w:fldChar w:fldCharType="end"/>
      </w:r>
      <w:bookmarkEnd w:id="41"/>
      <w:r w:rsidR="00813A73" w:rsidRPr="00F3529A">
        <w:rPr>
          <w:b/>
          <w:color w:val="auto"/>
          <w:sz w:val="22"/>
          <w:szCs w:val="22"/>
          <w:lang w:eastAsia="en-AU"/>
        </w:rPr>
        <w:tab/>
      </w:r>
      <w:r w:rsidR="00813A73" w:rsidRPr="00F3529A">
        <w:rPr>
          <w:color w:val="auto"/>
          <w:sz w:val="22"/>
          <w:szCs w:val="22"/>
          <w:lang w:eastAsia="en-AU"/>
        </w:rPr>
        <w:t>Summary of efficacy data comparison for some treated fruits and vegetables provided in the application</w:t>
      </w:r>
    </w:p>
    <w:tbl>
      <w:tblPr>
        <w:tblStyle w:val="TableGrid"/>
        <w:tblW w:w="0" w:type="auto"/>
        <w:jc w:val="center"/>
        <w:tblLook w:val="04A0" w:firstRow="1" w:lastRow="0" w:firstColumn="1" w:lastColumn="0" w:noHBand="0" w:noVBand="1"/>
        <w:tblDescription w:val="The treated fruits and vegetables are asparagus, lemon and avocardos, with storage times of 1, 7, 10, 12, 31 and 30 days comparing untreated, treated with INS 471 and treated with conventional wax. Assessment comments are made on visual analysis during terms such as acceptable, unacceptable showing signs of spoilage etc."/>
      </w:tblPr>
      <w:tblGrid>
        <w:gridCol w:w="1590"/>
        <w:gridCol w:w="1446"/>
        <w:gridCol w:w="1921"/>
        <w:gridCol w:w="2126"/>
        <w:gridCol w:w="1977"/>
      </w:tblGrid>
      <w:tr w:rsidR="00813A73" w:rsidRPr="003332E1" w14:paraId="78D9D334" w14:textId="77777777" w:rsidTr="0092358E">
        <w:trPr>
          <w:tblHeader/>
          <w:jc w:val="center"/>
        </w:trPr>
        <w:tc>
          <w:tcPr>
            <w:tcW w:w="1590" w:type="dxa"/>
            <w:vAlign w:val="center"/>
          </w:tcPr>
          <w:p w14:paraId="2BBE333F" w14:textId="77777777" w:rsidR="00813A73" w:rsidRPr="003332E1" w:rsidRDefault="00813A73" w:rsidP="000979AB">
            <w:pPr>
              <w:pStyle w:val="FSTableColumnRowheading"/>
            </w:pPr>
            <w:r>
              <w:t>Fruit or vegetable</w:t>
            </w:r>
          </w:p>
        </w:tc>
        <w:tc>
          <w:tcPr>
            <w:tcW w:w="1446" w:type="dxa"/>
            <w:vAlign w:val="center"/>
          </w:tcPr>
          <w:p w14:paraId="3AC0CE34" w14:textId="77777777" w:rsidR="00813A73" w:rsidRPr="003332E1" w:rsidRDefault="00813A73" w:rsidP="000979AB">
            <w:pPr>
              <w:pStyle w:val="FSTableColumnRowheading"/>
              <w:jc w:val="center"/>
            </w:pPr>
            <w:r>
              <w:t>Storage time (days)</w:t>
            </w:r>
          </w:p>
        </w:tc>
        <w:tc>
          <w:tcPr>
            <w:tcW w:w="1921" w:type="dxa"/>
            <w:vAlign w:val="center"/>
          </w:tcPr>
          <w:p w14:paraId="11B38453" w14:textId="77777777" w:rsidR="00813A73" w:rsidRPr="003332E1" w:rsidRDefault="00813A73" w:rsidP="000979AB">
            <w:pPr>
              <w:pStyle w:val="FSTableColumnRowheading"/>
              <w:jc w:val="center"/>
            </w:pPr>
            <w:r>
              <w:t>Untreated</w:t>
            </w:r>
          </w:p>
        </w:tc>
        <w:tc>
          <w:tcPr>
            <w:tcW w:w="2126" w:type="dxa"/>
            <w:vAlign w:val="center"/>
          </w:tcPr>
          <w:p w14:paraId="2EE8190E" w14:textId="77777777" w:rsidR="00813A73" w:rsidRPr="003332E1" w:rsidRDefault="00813A73" w:rsidP="000979AB">
            <w:pPr>
              <w:pStyle w:val="FSTableColumnRowheading"/>
              <w:jc w:val="center"/>
            </w:pPr>
            <w:r>
              <w:t>Treated with INS 471</w:t>
            </w:r>
          </w:p>
        </w:tc>
        <w:tc>
          <w:tcPr>
            <w:tcW w:w="1977" w:type="dxa"/>
            <w:vAlign w:val="center"/>
          </w:tcPr>
          <w:p w14:paraId="1915EAB5" w14:textId="77777777" w:rsidR="00813A73" w:rsidRDefault="00813A73" w:rsidP="000979AB">
            <w:pPr>
              <w:pStyle w:val="FSTableColumnRowheading"/>
              <w:jc w:val="center"/>
            </w:pPr>
            <w:r>
              <w:t>Alternate treatment, with conventional wax</w:t>
            </w:r>
          </w:p>
        </w:tc>
      </w:tr>
      <w:tr w:rsidR="00813A73" w:rsidRPr="003332E1" w14:paraId="4D705E35" w14:textId="77777777" w:rsidTr="0092358E">
        <w:trPr>
          <w:jc w:val="center"/>
        </w:trPr>
        <w:tc>
          <w:tcPr>
            <w:tcW w:w="1590" w:type="dxa"/>
            <w:vMerge w:val="restart"/>
            <w:vAlign w:val="center"/>
          </w:tcPr>
          <w:p w14:paraId="57886D99" w14:textId="77777777" w:rsidR="00813A73" w:rsidRPr="003332E1" w:rsidRDefault="00813A73" w:rsidP="0092358E">
            <w:pPr>
              <w:pStyle w:val="FSTableFigureHeading"/>
              <w:ind w:left="0" w:firstLine="0"/>
              <w:jc w:val="center"/>
              <w:rPr>
                <w:b w:val="0"/>
                <w:i w:val="0"/>
                <w:sz w:val="18"/>
                <w:szCs w:val="18"/>
                <w:lang w:eastAsia="en-AU"/>
              </w:rPr>
            </w:pPr>
            <w:r w:rsidRPr="003332E1">
              <w:rPr>
                <w:b w:val="0"/>
                <w:i w:val="0"/>
                <w:sz w:val="18"/>
                <w:szCs w:val="18"/>
                <w:lang w:eastAsia="en-AU"/>
              </w:rPr>
              <w:t>Asparagus</w:t>
            </w:r>
          </w:p>
        </w:tc>
        <w:tc>
          <w:tcPr>
            <w:tcW w:w="1446" w:type="dxa"/>
            <w:vAlign w:val="center"/>
          </w:tcPr>
          <w:p w14:paraId="27E15C3A" w14:textId="77777777" w:rsidR="00813A73" w:rsidRPr="003332E1" w:rsidRDefault="00813A73" w:rsidP="000979AB">
            <w:pPr>
              <w:pStyle w:val="FSTableFigureHeading"/>
              <w:ind w:left="0" w:firstLine="0"/>
              <w:jc w:val="center"/>
              <w:rPr>
                <w:b w:val="0"/>
                <w:i w:val="0"/>
                <w:sz w:val="18"/>
                <w:szCs w:val="18"/>
                <w:lang w:eastAsia="en-AU"/>
              </w:rPr>
            </w:pPr>
            <w:r w:rsidRPr="003332E1">
              <w:rPr>
                <w:b w:val="0"/>
                <w:i w:val="0"/>
                <w:sz w:val="18"/>
                <w:szCs w:val="18"/>
                <w:lang w:eastAsia="en-AU"/>
              </w:rPr>
              <w:t>1</w:t>
            </w:r>
          </w:p>
        </w:tc>
        <w:tc>
          <w:tcPr>
            <w:tcW w:w="1921" w:type="dxa"/>
            <w:vAlign w:val="center"/>
          </w:tcPr>
          <w:p w14:paraId="0B9BE827" w14:textId="77777777" w:rsidR="00813A73" w:rsidRPr="003332E1" w:rsidRDefault="00813A73" w:rsidP="000979AB">
            <w:pPr>
              <w:pStyle w:val="FSTableFigureHeading"/>
              <w:ind w:left="0" w:firstLine="0"/>
              <w:jc w:val="center"/>
              <w:rPr>
                <w:b w:val="0"/>
                <w:i w:val="0"/>
                <w:sz w:val="18"/>
                <w:szCs w:val="18"/>
                <w:lang w:eastAsia="en-AU"/>
              </w:rPr>
            </w:pPr>
            <w:r w:rsidRPr="003332E1">
              <w:rPr>
                <w:b w:val="0"/>
                <w:i w:val="0"/>
                <w:sz w:val="18"/>
                <w:szCs w:val="18"/>
                <w:lang w:eastAsia="en-AU"/>
              </w:rPr>
              <w:t>Acceptable</w:t>
            </w:r>
          </w:p>
        </w:tc>
        <w:tc>
          <w:tcPr>
            <w:tcW w:w="2126" w:type="dxa"/>
            <w:vAlign w:val="center"/>
          </w:tcPr>
          <w:p w14:paraId="7725D3CA" w14:textId="77777777" w:rsidR="00813A73" w:rsidRPr="003332E1" w:rsidRDefault="00813A73" w:rsidP="000979AB">
            <w:pPr>
              <w:pStyle w:val="FSTableFigureHeading"/>
              <w:ind w:left="0" w:firstLine="0"/>
              <w:jc w:val="center"/>
              <w:rPr>
                <w:b w:val="0"/>
                <w:i w:val="0"/>
                <w:sz w:val="18"/>
                <w:szCs w:val="18"/>
                <w:lang w:eastAsia="en-AU"/>
              </w:rPr>
            </w:pPr>
            <w:r w:rsidRPr="003332E1">
              <w:rPr>
                <w:b w:val="0"/>
                <w:i w:val="0"/>
                <w:sz w:val="18"/>
                <w:szCs w:val="18"/>
                <w:lang w:eastAsia="en-AU"/>
              </w:rPr>
              <w:t>Acceptable</w:t>
            </w:r>
          </w:p>
        </w:tc>
        <w:tc>
          <w:tcPr>
            <w:tcW w:w="1977" w:type="dxa"/>
            <w:vAlign w:val="center"/>
          </w:tcPr>
          <w:p w14:paraId="013AF25C"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w:t>
            </w:r>
          </w:p>
        </w:tc>
      </w:tr>
      <w:tr w:rsidR="00813A73" w:rsidRPr="003332E1" w14:paraId="04383AA8" w14:textId="77777777" w:rsidTr="0092358E">
        <w:trPr>
          <w:jc w:val="center"/>
        </w:trPr>
        <w:tc>
          <w:tcPr>
            <w:tcW w:w="1590" w:type="dxa"/>
            <w:vMerge/>
            <w:vAlign w:val="center"/>
          </w:tcPr>
          <w:p w14:paraId="6ADAE63A" w14:textId="77777777" w:rsidR="00813A73" w:rsidRPr="003332E1" w:rsidRDefault="00813A73" w:rsidP="0092358E">
            <w:pPr>
              <w:pStyle w:val="FSTableFigureHeading"/>
              <w:ind w:left="0" w:firstLine="0"/>
              <w:jc w:val="center"/>
              <w:rPr>
                <w:b w:val="0"/>
                <w:i w:val="0"/>
                <w:sz w:val="18"/>
                <w:szCs w:val="18"/>
                <w:lang w:eastAsia="en-AU"/>
              </w:rPr>
            </w:pPr>
          </w:p>
        </w:tc>
        <w:tc>
          <w:tcPr>
            <w:tcW w:w="1446" w:type="dxa"/>
            <w:vAlign w:val="center"/>
          </w:tcPr>
          <w:p w14:paraId="6ABF359B" w14:textId="77777777" w:rsidR="00813A73" w:rsidRPr="003332E1" w:rsidRDefault="00813A73" w:rsidP="000979AB">
            <w:pPr>
              <w:pStyle w:val="FSTableFigureHeading"/>
              <w:ind w:left="0" w:firstLine="0"/>
              <w:jc w:val="center"/>
              <w:rPr>
                <w:b w:val="0"/>
                <w:i w:val="0"/>
                <w:sz w:val="18"/>
                <w:szCs w:val="18"/>
                <w:lang w:eastAsia="en-AU"/>
              </w:rPr>
            </w:pPr>
            <w:r w:rsidRPr="003332E1">
              <w:rPr>
                <w:b w:val="0"/>
                <w:i w:val="0"/>
                <w:sz w:val="18"/>
                <w:szCs w:val="18"/>
                <w:lang w:eastAsia="en-AU"/>
              </w:rPr>
              <w:t>7</w:t>
            </w:r>
          </w:p>
        </w:tc>
        <w:tc>
          <w:tcPr>
            <w:tcW w:w="1921" w:type="dxa"/>
            <w:vAlign w:val="center"/>
          </w:tcPr>
          <w:p w14:paraId="447862EF" w14:textId="77777777" w:rsidR="00813A73" w:rsidRPr="003332E1" w:rsidRDefault="00813A73" w:rsidP="000979AB">
            <w:pPr>
              <w:pStyle w:val="FSTableFigureHeading"/>
              <w:ind w:left="0" w:firstLine="0"/>
              <w:jc w:val="center"/>
              <w:rPr>
                <w:b w:val="0"/>
                <w:i w:val="0"/>
                <w:sz w:val="18"/>
                <w:szCs w:val="18"/>
                <w:lang w:eastAsia="en-AU"/>
              </w:rPr>
            </w:pPr>
            <w:r w:rsidRPr="003332E1">
              <w:rPr>
                <w:b w:val="0"/>
                <w:i w:val="0"/>
                <w:sz w:val="18"/>
                <w:szCs w:val="18"/>
                <w:lang w:eastAsia="en-AU"/>
              </w:rPr>
              <w:t>Unacceptable, dehydrated stems</w:t>
            </w:r>
          </w:p>
        </w:tc>
        <w:tc>
          <w:tcPr>
            <w:tcW w:w="2126" w:type="dxa"/>
            <w:vAlign w:val="center"/>
          </w:tcPr>
          <w:p w14:paraId="59784CAE" w14:textId="77777777" w:rsidR="00813A73" w:rsidRPr="003332E1" w:rsidRDefault="00813A73" w:rsidP="000979AB">
            <w:pPr>
              <w:jc w:val="center"/>
              <w:rPr>
                <w:sz w:val="18"/>
                <w:szCs w:val="18"/>
              </w:rPr>
            </w:pPr>
            <w:r w:rsidRPr="003332E1">
              <w:rPr>
                <w:sz w:val="18"/>
                <w:szCs w:val="18"/>
              </w:rPr>
              <w:t>Acceptable</w:t>
            </w:r>
          </w:p>
        </w:tc>
        <w:tc>
          <w:tcPr>
            <w:tcW w:w="1977" w:type="dxa"/>
            <w:vAlign w:val="center"/>
          </w:tcPr>
          <w:p w14:paraId="77229197" w14:textId="77777777" w:rsidR="00813A73" w:rsidRPr="003332E1" w:rsidRDefault="00813A73" w:rsidP="000979AB">
            <w:pPr>
              <w:jc w:val="center"/>
              <w:rPr>
                <w:sz w:val="18"/>
                <w:szCs w:val="18"/>
              </w:rPr>
            </w:pPr>
            <w:r>
              <w:rPr>
                <w:sz w:val="18"/>
                <w:szCs w:val="18"/>
              </w:rPr>
              <w:t>-</w:t>
            </w:r>
          </w:p>
        </w:tc>
      </w:tr>
      <w:tr w:rsidR="00813A73" w:rsidRPr="003332E1" w14:paraId="5724101C" w14:textId="77777777" w:rsidTr="0092358E">
        <w:trPr>
          <w:jc w:val="center"/>
        </w:trPr>
        <w:tc>
          <w:tcPr>
            <w:tcW w:w="1590" w:type="dxa"/>
            <w:vMerge/>
            <w:vAlign w:val="center"/>
          </w:tcPr>
          <w:p w14:paraId="7C2EE89D" w14:textId="77777777" w:rsidR="00813A73" w:rsidRPr="003332E1" w:rsidRDefault="00813A73" w:rsidP="0092358E">
            <w:pPr>
              <w:pStyle w:val="FSTableFigureHeading"/>
              <w:ind w:left="0" w:firstLine="0"/>
              <w:jc w:val="center"/>
              <w:rPr>
                <w:b w:val="0"/>
                <w:i w:val="0"/>
                <w:sz w:val="18"/>
                <w:szCs w:val="18"/>
                <w:lang w:eastAsia="en-AU"/>
              </w:rPr>
            </w:pPr>
          </w:p>
        </w:tc>
        <w:tc>
          <w:tcPr>
            <w:tcW w:w="1446" w:type="dxa"/>
            <w:vAlign w:val="center"/>
          </w:tcPr>
          <w:p w14:paraId="2E9EC7F9" w14:textId="77777777" w:rsidR="00813A73" w:rsidRPr="003332E1" w:rsidRDefault="00813A73" w:rsidP="000979AB">
            <w:pPr>
              <w:pStyle w:val="FSTableFigureHeading"/>
              <w:ind w:left="0" w:firstLine="0"/>
              <w:jc w:val="center"/>
              <w:rPr>
                <w:b w:val="0"/>
                <w:i w:val="0"/>
                <w:sz w:val="18"/>
                <w:szCs w:val="18"/>
                <w:lang w:eastAsia="en-AU"/>
              </w:rPr>
            </w:pPr>
            <w:r w:rsidRPr="003332E1">
              <w:rPr>
                <w:b w:val="0"/>
                <w:i w:val="0"/>
                <w:sz w:val="18"/>
                <w:szCs w:val="18"/>
                <w:lang w:eastAsia="en-AU"/>
              </w:rPr>
              <w:t>12</w:t>
            </w:r>
          </w:p>
        </w:tc>
        <w:tc>
          <w:tcPr>
            <w:tcW w:w="1921" w:type="dxa"/>
            <w:vAlign w:val="center"/>
          </w:tcPr>
          <w:p w14:paraId="1C6A5587" w14:textId="77777777" w:rsidR="00813A73" w:rsidRPr="003332E1" w:rsidRDefault="00813A73" w:rsidP="000979AB">
            <w:pPr>
              <w:pStyle w:val="FSTableFigureHeading"/>
              <w:ind w:left="0" w:firstLine="0"/>
              <w:jc w:val="center"/>
              <w:rPr>
                <w:b w:val="0"/>
                <w:i w:val="0"/>
                <w:sz w:val="18"/>
                <w:szCs w:val="18"/>
                <w:lang w:eastAsia="en-AU"/>
              </w:rPr>
            </w:pPr>
            <w:r w:rsidRPr="003332E1">
              <w:rPr>
                <w:b w:val="0"/>
                <w:i w:val="0"/>
                <w:sz w:val="18"/>
                <w:szCs w:val="18"/>
                <w:lang w:eastAsia="en-AU"/>
              </w:rPr>
              <w:t>Unacceptable, further deterioration</w:t>
            </w:r>
          </w:p>
        </w:tc>
        <w:tc>
          <w:tcPr>
            <w:tcW w:w="2126" w:type="dxa"/>
            <w:vAlign w:val="center"/>
          </w:tcPr>
          <w:p w14:paraId="365FED1E" w14:textId="77777777" w:rsidR="00813A73" w:rsidRPr="003332E1" w:rsidRDefault="00813A73" w:rsidP="000979AB">
            <w:pPr>
              <w:jc w:val="center"/>
              <w:rPr>
                <w:sz w:val="18"/>
                <w:szCs w:val="18"/>
              </w:rPr>
            </w:pPr>
            <w:r w:rsidRPr="003332E1">
              <w:rPr>
                <w:sz w:val="18"/>
                <w:szCs w:val="18"/>
              </w:rPr>
              <w:t>Acceptable</w:t>
            </w:r>
          </w:p>
        </w:tc>
        <w:tc>
          <w:tcPr>
            <w:tcW w:w="1977" w:type="dxa"/>
            <w:vAlign w:val="center"/>
          </w:tcPr>
          <w:p w14:paraId="19185FE8" w14:textId="77777777" w:rsidR="00813A73" w:rsidRPr="003332E1" w:rsidRDefault="00813A73" w:rsidP="000979AB">
            <w:pPr>
              <w:jc w:val="center"/>
              <w:rPr>
                <w:sz w:val="18"/>
                <w:szCs w:val="18"/>
              </w:rPr>
            </w:pPr>
            <w:r>
              <w:rPr>
                <w:sz w:val="18"/>
                <w:szCs w:val="18"/>
              </w:rPr>
              <w:t>-</w:t>
            </w:r>
          </w:p>
        </w:tc>
      </w:tr>
      <w:tr w:rsidR="00813A73" w:rsidRPr="003332E1" w14:paraId="3D3E7B1A" w14:textId="77777777" w:rsidTr="0092358E">
        <w:trPr>
          <w:jc w:val="center"/>
        </w:trPr>
        <w:tc>
          <w:tcPr>
            <w:tcW w:w="1590" w:type="dxa"/>
            <w:vMerge w:val="restart"/>
            <w:vAlign w:val="center"/>
          </w:tcPr>
          <w:p w14:paraId="1D8AF14B" w14:textId="77777777" w:rsidR="00813A73" w:rsidRPr="003332E1" w:rsidRDefault="00813A73" w:rsidP="0092358E">
            <w:pPr>
              <w:pStyle w:val="FSTableFigureHeading"/>
              <w:ind w:left="0" w:firstLine="0"/>
              <w:jc w:val="center"/>
              <w:rPr>
                <w:b w:val="0"/>
                <w:i w:val="0"/>
                <w:sz w:val="18"/>
                <w:szCs w:val="18"/>
                <w:lang w:eastAsia="en-AU"/>
              </w:rPr>
            </w:pPr>
            <w:r w:rsidRPr="003332E1">
              <w:rPr>
                <w:b w:val="0"/>
                <w:i w:val="0"/>
                <w:sz w:val="18"/>
                <w:szCs w:val="18"/>
                <w:lang w:eastAsia="en-AU"/>
              </w:rPr>
              <w:t>Lemons</w:t>
            </w:r>
          </w:p>
        </w:tc>
        <w:tc>
          <w:tcPr>
            <w:tcW w:w="1446" w:type="dxa"/>
            <w:vAlign w:val="center"/>
          </w:tcPr>
          <w:p w14:paraId="76578C08"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1</w:t>
            </w:r>
          </w:p>
        </w:tc>
        <w:tc>
          <w:tcPr>
            <w:tcW w:w="1921" w:type="dxa"/>
            <w:vAlign w:val="center"/>
          </w:tcPr>
          <w:p w14:paraId="17A3FB2E" w14:textId="77777777" w:rsidR="00813A73" w:rsidRPr="00E328A6" w:rsidRDefault="00813A73" w:rsidP="000979AB">
            <w:pPr>
              <w:jc w:val="center"/>
            </w:pPr>
            <w:r w:rsidRPr="00E328A6">
              <w:rPr>
                <w:sz w:val="18"/>
                <w:szCs w:val="18"/>
                <w:lang w:eastAsia="en-AU"/>
              </w:rPr>
              <w:t>Acceptable</w:t>
            </w:r>
          </w:p>
        </w:tc>
        <w:tc>
          <w:tcPr>
            <w:tcW w:w="2126" w:type="dxa"/>
            <w:vAlign w:val="center"/>
          </w:tcPr>
          <w:p w14:paraId="08E7D953" w14:textId="77777777" w:rsidR="00813A73" w:rsidRPr="00E328A6" w:rsidRDefault="00813A73" w:rsidP="000979AB">
            <w:pPr>
              <w:jc w:val="center"/>
            </w:pPr>
            <w:r w:rsidRPr="00E328A6">
              <w:rPr>
                <w:sz w:val="18"/>
                <w:szCs w:val="18"/>
                <w:lang w:eastAsia="en-AU"/>
              </w:rPr>
              <w:t>Acceptable</w:t>
            </w:r>
          </w:p>
        </w:tc>
        <w:tc>
          <w:tcPr>
            <w:tcW w:w="1977" w:type="dxa"/>
            <w:vAlign w:val="center"/>
          </w:tcPr>
          <w:p w14:paraId="4188EED0" w14:textId="77777777" w:rsidR="00813A73" w:rsidRPr="00E328A6" w:rsidRDefault="00813A73" w:rsidP="000979AB">
            <w:pPr>
              <w:jc w:val="center"/>
            </w:pPr>
            <w:r w:rsidRPr="00E328A6">
              <w:rPr>
                <w:sz w:val="18"/>
                <w:szCs w:val="18"/>
                <w:lang w:eastAsia="en-AU"/>
              </w:rPr>
              <w:t>Acceptable</w:t>
            </w:r>
          </w:p>
        </w:tc>
      </w:tr>
      <w:tr w:rsidR="00813A73" w:rsidRPr="003332E1" w14:paraId="2F60C4D6" w14:textId="77777777" w:rsidTr="0092358E">
        <w:trPr>
          <w:jc w:val="center"/>
        </w:trPr>
        <w:tc>
          <w:tcPr>
            <w:tcW w:w="1590" w:type="dxa"/>
            <w:vMerge/>
            <w:vAlign w:val="center"/>
          </w:tcPr>
          <w:p w14:paraId="2105709C" w14:textId="77777777" w:rsidR="00813A73" w:rsidRPr="003332E1" w:rsidRDefault="00813A73" w:rsidP="0092358E">
            <w:pPr>
              <w:pStyle w:val="FSTableFigureHeading"/>
              <w:ind w:left="0" w:firstLine="0"/>
              <w:jc w:val="center"/>
              <w:rPr>
                <w:b w:val="0"/>
                <w:i w:val="0"/>
                <w:sz w:val="18"/>
                <w:szCs w:val="18"/>
                <w:lang w:eastAsia="en-AU"/>
              </w:rPr>
            </w:pPr>
          </w:p>
        </w:tc>
        <w:tc>
          <w:tcPr>
            <w:tcW w:w="1446" w:type="dxa"/>
            <w:vAlign w:val="center"/>
          </w:tcPr>
          <w:p w14:paraId="68BDD42E"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31</w:t>
            </w:r>
          </w:p>
        </w:tc>
        <w:tc>
          <w:tcPr>
            <w:tcW w:w="1921" w:type="dxa"/>
            <w:vAlign w:val="center"/>
          </w:tcPr>
          <w:p w14:paraId="5581DBCD"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Some signs of spoilage</w:t>
            </w:r>
          </w:p>
        </w:tc>
        <w:tc>
          <w:tcPr>
            <w:tcW w:w="2126" w:type="dxa"/>
            <w:vAlign w:val="center"/>
          </w:tcPr>
          <w:p w14:paraId="71DA214F" w14:textId="77777777" w:rsidR="00813A73" w:rsidRDefault="00813A73" w:rsidP="000979AB">
            <w:pPr>
              <w:jc w:val="center"/>
            </w:pPr>
            <w:r w:rsidRPr="00BF306F">
              <w:rPr>
                <w:sz w:val="18"/>
                <w:szCs w:val="18"/>
                <w:lang w:eastAsia="en-AU"/>
              </w:rPr>
              <w:t>Acceptable</w:t>
            </w:r>
          </w:p>
        </w:tc>
        <w:tc>
          <w:tcPr>
            <w:tcW w:w="1977" w:type="dxa"/>
            <w:vAlign w:val="center"/>
          </w:tcPr>
          <w:p w14:paraId="583CCBBC" w14:textId="77777777" w:rsidR="00813A73" w:rsidRPr="00E328A6" w:rsidRDefault="00813A73" w:rsidP="000979AB">
            <w:pPr>
              <w:jc w:val="center"/>
            </w:pPr>
            <w:r w:rsidRPr="00E328A6">
              <w:rPr>
                <w:sz w:val="18"/>
                <w:szCs w:val="18"/>
                <w:lang w:eastAsia="en-AU"/>
              </w:rPr>
              <w:t>Some signs of spoilage</w:t>
            </w:r>
          </w:p>
        </w:tc>
      </w:tr>
      <w:tr w:rsidR="00813A73" w:rsidRPr="003332E1" w14:paraId="4F5197EA" w14:textId="77777777" w:rsidTr="0092358E">
        <w:trPr>
          <w:jc w:val="center"/>
        </w:trPr>
        <w:tc>
          <w:tcPr>
            <w:tcW w:w="1590" w:type="dxa"/>
            <w:vMerge/>
            <w:vAlign w:val="center"/>
          </w:tcPr>
          <w:p w14:paraId="2E6C21E8" w14:textId="77777777" w:rsidR="00813A73" w:rsidRPr="003332E1" w:rsidRDefault="00813A73" w:rsidP="0092358E">
            <w:pPr>
              <w:pStyle w:val="FSTableFigureHeading"/>
              <w:ind w:left="0" w:firstLine="0"/>
              <w:jc w:val="center"/>
              <w:rPr>
                <w:b w:val="0"/>
                <w:i w:val="0"/>
                <w:sz w:val="18"/>
                <w:szCs w:val="18"/>
                <w:lang w:eastAsia="en-AU"/>
              </w:rPr>
            </w:pPr>
          </w:p>
        </w:tc>
        <w:tc>
          <w:tcPr>
            <w:tcW w:w="1446" w:type="dxa"/>
            <w:vAlign w:val="center"/>
          </w:tcPr>
          <w:p w14:paraId="055D84CC"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60</w:t>
            </w:r>
          </w:p>
        </w:tc>
        <w:tc>
          <w:tcPr>
            <w:tcW w:w="1921" w:type="dxa"/>
            <w:vAlign w:val="center"/>
          </w:tcPr>
          <w:p w14:paraId="6FBC2C78"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Unacceptable, significant signs of dehydration and discolouration</w:t>
            </w:r>
          </w:p>
        </w:tc>
        <w:tc>
          <w:tcPr>
            <w:tcW w:w="2126" w:type="dxa"/>
            <w:vAlign w:val="center"/>
          </w:tcPr>
          <w:p w14:paraId="2102F7CC" w14:textId="77777777" w:rsidR="00813A73" w:rsidRDefault="00813A73" w:rsidP="000979AB">
            <w:pPr>
              <w:jc w:val="center"/>
            </w:pPr>
            <w:r w:rsidRPr="00BF306F">
              <w:rPr>
                <w:sz w:val="18"/>
                <w:szCs w:val="18"/>
                <w:lang w:eastAsia="en-AU"/>
              </w:rPr>
              <w:t>Acceptable</w:t>
            </w:r>
          </w:p>
        </w:tc>
        <w:tc>
          <w:tcPr>
            <w:tcW w:w="1977" w:type="dxa"/>
            <w:vAlign w:val="center"/>
          </w:tcPr>
          <w:p w14:paraId="09E91EDC" w14:textId="77777777" w:rsidR="00813A73" w:rsidRPr="00E328A6" w:rsidRDefault="00813A73" w:rsidP="000979AB">
            <w:pPr>
              <w:jc w:val="center"/>
            </w:pPr>
            <w:r w:rsidRPr="00E328A6">
              <w:rPr>
                <w:sz w:val="18"/>
                <w:szCs w:val="18"/>
                <w:lang w:eastAsia="en-AU"/>
              </w:rPr>
              <w:t>Unacceptable, significant signs of dehydration and discolouration</w:t>
            </w:r>
          </w:p>
        </w:tc>
      </w:tr>
      <w:tr w:rsidR="00813A73" w:rsidRPr="003332E1" w14:paraId="56F868A5" w14:textId="77777777" w:rsidTr="0092358E">
        <w:trPr>
          <w:jc w:val="center"/>
        </w:trPr>
        <w:tc>
          <w:tcPr>
            <w:tcW w:w="1590" w:type="dxa"/>
            <w:vMerge w:val="restart"/>
            <w:vAlign w:val="center"/>
          </w:tcPr>
          <w:p w14:paraId="083DDC7B" w14:textId="77777777" w:rsidR="00813A73" w:rsidRPr="003332E1" w:rsidRDefault="00813A73" w:rsidP="0092358E">
            <w:pPr>
              <w:pStyle w:val="FSTableFigureHeading"/>
              <w:ind w:left="0" w:firstLine="0"/>
              <w:jc w:val="center"/>
              <w:rPr>
                <w:b w:val="0"/>
                <w:i w:val="0"/>
                <w:sz w:val="18"/>
                <w:szCs w:val="18"/>
                <w:lang w:eastAsia="en-AU"/>
              </w:rPr>
            </w:pPr>
            <w:r>
              <w:rPr>
                <w:b w:val="0"/>
                <w:i w:val="0"/>
                <w:sz w:val="18"/>
                <w:szCs w:val="18"/>
                <w:lang w:eastAsia="en-AU"/>
              </w:rPr>
              <w:t>Avocados</w:t>
            </w:r>
          </w:p>
        </w:tc>
        <w:tc>
          <w:tcPr>
            <w:tcW w:w="1446" w:type="dxa"/>
            <w:vAlign w:val="center"/>
          </w:tcPr>
          <w:p w14:paraId="48400073"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1</w:t>
            </w:r>
          </w:p>
        </w:tc>
        <w:tc>
          <w:tcPr>
            <w:tcW w:w="1921" w:type="dxa"/>
            <w:vAlign w:val="center"/>
          </w:tcPr>
          <w:p w14:paraId="5A5E043B" w14:textId="77777777" w:rsidR="00813A73" w:rsidRPr="00E328A6" w:rsidRDefault="00813A73" w:rsidP="000979AB">
            <w:pPr>
              <w:jc w:val="center"/>
            </w:pPr>
            <w:r w:rsidRPr="00E328A6">
              <w:rPr>
                <w:sz w:val="18"/>
                <w:szCs w:val="18"/>
                <w:lang w:eastAsia="en-AU"/>
              </w:rPr>
              <w:t>Acceptable</w:t>
            </w:r>
          </w:p>
        </w:tc>
        <w:tc>
          <w:tcPr>
            <w:tcW w:w="2126" w:type="dxa"/>
            <w:vAlign w:val="center"/>
          </w:tcPr>
          <w:p w14:paraId="63D53E12" w14:textId="77777777" w:rsidR="00813A73" w:rsidRPr="00E328A6" w:rsidRDefault="00813A73" w:rsidP="000979AB">
            <w:pPr>
              <w:jc w:val="center"/>
            </w:pPr>
            <w:r w:rsidRPr="00E328A6">
              <w:rPr>
                <w:sz w:val="18"/>
                <w:szCs w:val="18"/>
                <w:lang w:eastAsia="en-AU"/>
              </w:rPr>
              <w:t>Acceptable</w:t>
            </w:r>
          </w:p>
        </w:tc>
        <w:tc>
          <w:tcPr>
            <w:tcW w:w="1977" w:type="dxa"/>
            <w:vAlign w:val="center"/>
          </w:tcPr>
          <w:p w14:paraId="06BB354C"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w:t>
            </w:r>
          </w:p>
        </w:tc>
      </w:tr>
      <w:tr w:rsidR="00813A73" w:rsidRPr="003332E1" w14:paraId="7DFD6487" w14:textId="77777777" w:rsidTr="0092358E">
        <w:trPr>
          <w:jc w:val="center"/>
        </w:trPr>
        <w:tc>
          <w:tcPr>
            <w:tcW w:w="1590" w:type="dxa"/>
            <w:vMerge/>
            <w:vAlign w:val="center"/>
          </w:tcPr>
          <w:p w14:paraId="12D35916" w14:textId="77777777" w:rsidR="00813A73" w:rsidRPr="003332E1" w:rsidRDefault="00813A73" w:rsidP="000979AB">
            <w:pPr>
              <w:pStyle w:val="FSTableFigureHeading"/>
              <w:ind w:left="0" w:firstLine="0"/>
              <w:rPr>
                <w:b w:val="0"/>
                <w:i w:val="0"/>
                <w:sz w:val="18"/>
                <w:szCs w:val="18"/>
                <w:lang w:eastAsia="en-AU"/>
              </w:rPr>
            </w:pPr>
          </w:p>
        </w:tc>
        <w:tc>
          <w:tcPr>
            <w:tcW w:w="1446" w:type="dxa"/>
            <w:vAlign w:val="center"/>
          </w:tcPr>
          <w:p w14:paraId="510D5DFC"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10</w:t>
            </w:r>
          </w:p>
        </w:tc>
        <w:tc>
          <w:tcPr>
            <w:tcW w:w="1921" w:type="dxa"/>
            <w:vAlign w:val="center"/>
          </w:tcPr>
          <w:p w14:paraId="08DB60D8"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Ripe, acceptable for sale</w:t>
            </w:r>
          </w:p>
        </w:tc>
        <w:tc>
          <w:tcPr>
            <w:tcW w:w="2126" w:type="dxa"/>
            <w:vAlign w:val="center"/>
          </w:tcPr>
          <w:p w14:paraId="631EFF34" w14:textId="77777777" w:rsidR="00813A73" w:rsidRDefault="00813A73" w:rsidP="000979AB">
            <w:pPr>
              <w:jc w:val="center"/>
            </w:pPr>
            <w:r w:rsidRPr="00C4048B">
              <w:rPr>
                <w:sz w:val="18"/>
                <w:szCs w:val="18"/>
                <w:lang w:eastAsia="en-AU"/>
              </w:rPr>
              <w:t>Acceptable</w:t>
            </w:r>
            <w:r>
              <w:rPr>
                <w:sz w:val="18"/>
                <w:szCs w:val="18"/>
                <w:lang w:eastAsia="en-AU"/>
              </w:rPr>
              <w:t>, still unripe</w:t>
            </w:r>
          </w:p>
        </w:tc>
        <w:tc>
          <w:tcPr>
            <w:tcW w:w="1977" w:type="dxa"/>
            <w:vAlign w:val="center"/>
          </w:tcPr>
          <w:p w14:paraId="37316BB2"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w:t>
            </w:r>
          </w:p>
        </w:tc>
      </w:tr>
      <w:tr w:rsidR="00813A73" w:rsidRPr="003332E1" w14:paraId="1C35914D" w14:textId="77777777" w:rsidTr="0092358E">
        <w:trPr>
          <w:jc w:val="center"/>
        </w:trPr>
        <w:tc>
          <w:tcPr>
            <w:tcW w:w="1590" w:type="dxa"/>
            <w:vMerge/>
            <w:vAlign w:val="center"/>
          </w:tcPr>
          <w:p w14:paraId="7D067937" w14:textId="77777777" w:rsidR="00813A73" w:rsidRPr="003332E1" w:rsidRDefault="00813A73" w:rsidP="000979AB">
            <w:pPr>
              <w:pStyle w:val="FSTableFigureHeading"/>
              <w:ind w:left="0" w:firstLine="0"/>
              <w:rPr>
                <w:b w:val="0"/>
                <w:i w:val="0"/>
                <w:sz w:val="18"/>
                <w:szCs w:val="18"/>
                <w:lang w:eastAsia="en-AU"/>
              </w:rPr>
            </w:pPr>
          </w:p>
        </w:tc>
        <w:tc>
          <w:tcPr>
            <w:tcW w:w="1446" w:type="dxa"/>
            <w:vAlign w:val="center"/>
          </w:tcPr>
          <w:p w14:paraId="7C651BA7"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30</w:t>
            </w:r>
          </w:p>
        </w:tc>
        <w:tc>
          <w:tcPr>
            <w:tcW w:w="1921" w:type="dxa"/>
            <w:vAlign w:val="center"/>
          </w:tcPr>
          <w:p w14:paraId="4DE2CC6E"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Unacceptable, significant signs of spoilage</w:t>
            </w:r>
          </w:p>
        </w:tc>
        <w:tc>
          <w:tcPr>
            <w:tcW w:w="2126" w:type="dxa"/>
            <w:vAlign w:val="center"/>
          </w:tcPr>
          <w:p w14:paraId="10C96E0F" w14:textId="77777777" w:rsidR="00813A73" w:rsidRDefault="00813A73" w:rsidP="000979AB">
            <w:pPr>
              <w:jc w:val="center"/>
            </w:pPr>
            <w:r w:rsidRPr="00C4048B">
              <w:rPr>
                <w:sz w:val="18"/>
                <w:szCs w:val="18"/>
                <w:lang w:eastAsia="en-AU"/>
              </w:rPr>
              <w:t>Acceptable</w:t>
            </w:r>
          </w:p>
        </w:tc>
        <w:tc>
          <w:tcPr>
            <w:tcW w:w="1977" w:type="dxa"/>
            <w:vAlign w:val="center"/>
          </w:tcPr>
          <w:p w14:paraId="1A8FDD9D" w14:textId="77777777" w:rsidR="00813A73" w:rsidRPr="003332E1" w:rsidRDefault="00813A73" w:rsidP="000979AB">
            <w:pPr>
              <w:pStyle w:val="FSTableFigureHeading"/>
              <w:ind w:left="0" w:firstLine="0"/>
              <w:jc w:val="center"/>
              <w:rPr>
                <w:b w:val="0"/>
                <w:i w:val="0"/>
                <w:sz w:val="18"/>
                <w:szCs w:val="18"/>
                <w:lang w:eastAsia="en-AU"/>
              </w:rPr>
            </w:pPr>
            <w:r>
              <w:rPr>
                <w:b w:val="0"/>
                <w:i w:val="0"/>
                <w:sz w:val="18"/>
                <w:szCs w:val="18"/>
                <w:lang w:eastAsia="en-AU"/>
              </w:rPr>
              <w:t>-</w:t>
            </w:r>
          </w:p>
        </w:tc>
      </w:tr>
    </w:tbl>
    <w:p w14:paraId="665BB9C0" w14:textId="77777777" w:rsidR="0046288C" w:rsidRDefault="0046288C" w:rsidP="00961B2C">
      <w:pPr>
        <w:rPr>
          <w:lang w:eastAsia="en-AU"/>
        </w:rPr>
      </w:pPr>
    </w:p>
    <w:p w14:paraId="4E13F277" w14:textId="33C9CB51" w:rsidR="0046288C" w:rsidRDefault="0046288C" w:rsidP="009E1FF4">
      <w:pPr>
        <w:pStyle w:val="Heading2"/>
        <w:rPr>
          <w:lang w:eastAsia="en-AU"/>
        </w:rPr>
      </w:pPr>
      <w:bookmarkStart w:id="42" w:name="_Toc42849599"/>
      <w:bookmarkStart w:id="43" w:name="_Toc46487128"/>
      <w:bookmarkStart w:id="44" w:name="_Toc58251553"/>
      <w:r>
        <w:rPr>
          <w:lang w:eastAsia="en-AU"/>
        </w:rPr>
        <w:t>2.5</w:t>
      </w:r>
      <w:r>
        <w:rPr>
          <w:lang w:eastAsia="en-AU"/>
        </w:rPr>
        <w:tab/>
      </w:r>
      <w:r w:rsidR="002846F0" w:rsidRPr="002846F0">
        <w:rPr>
          <w:lang w:eastAsia="en-AU"/>
        </w:rPr>
        <w:t xml:space="preserve">Food technology </w:t>
      </w:r>
      <w:r w:rsidR="002846F0">
        <w:rPr>
          <w:lang w:eastAsia="en-AU"/>
        </w:rPr>
        <w:t>c</w:t>
      </w:r>
      <w:r>
        <w:rPr>
          <w:lang w:eastAsia="en-AU"/>
        </w:rPr>
        <w:t>onclusion</w:t>
      </w:r>
      <w:bookmarkEnd w:id="42"/>
      <w:bookmarkEnd w:id="43"/>
      <w:bookmarkEnd w:id="44"/>
    </w:p>
    <w:p w14:paraId="38A8A00E" w14:textId="2189F4C0" w:rsidR="00F3529A" w:rsidRDefault="00813A73" w:rsidP="0046288C">
      <w:r>
        <w:t xml:space="preserve">An assessment of data provided by the applicant has concluded that the food additive mono- and diglycerides of fatty acids performs the technological purpose of a glazing agent to extend the shelf life </w:t>
      </w:r>
      <w:r w:rsidR="0092358E">
        <w:t xml:space="preserve">(visual assessment) </w:t>
      </w:r>
      <w:r>
        <w:t>of various treated fresh fruits and vegetables compared to untreated product</w:t>
      </w:r>
      <w:r w:rsidR="001B3F6C">
        <w:t xml:space="preserve"> and</w:t>
      </w:r>
      <w:r>
        <w:t xml:space="preserve"> conventional waxes and resins applied as glazing agents. </w:t>
      </w:r>
      <w:r w:rsidR="001B3F6C">
        <w:t xml:space="preserve">Analysis of some of the treated fruits and vegetables concludes that mono- and diglycerides performs better than other permitted glazing agents. </w:t>
      </w:r>
      <w:r>
        <w:t>This is an extension of use of the currently already permitted GMP food additive. As an already permitted GMP food additive it complies with internationally accepted specifications of identity and purity which are primary sources of specifications in Schedule 3.</w:t>
      </w:r>
    </w:p>
    <w:p w14:paraId="3DA73290" w14:textId="2B31BA0F" w:rsidR="0046288C" w:rsidRDefault="0046288C" w:rsidP="0046288C">
      <w:pPr>
        <w:pStyle w:val="Heading1"/>
        <w:rPr>
          <w:lang w:eastAsia="en-AU"/>
        </w:rPr>
      </w:pPr>
      <w:bookmarkStart w:id="45" w:name="_Toc42849600"/>
      <w:bookmarkStart w:id="46" w:name="_Toc46487129"/>
      <w:bookmarkStart w:id="47" w:name="_Toc58251554"/>
      <w:r>
        <w:rPr>
          <w:lang w:eastAsia="en-AU"/>
        </w:rPr>
        <w:t>3</w:t>
      </w:r>
      <w:r>
        <w:rPr>
          <w:lang w:eastAsia="en-AU"/>
        </w:rPr>
        <w:tab/>
        <w:t>Hazard assessment</w:t>
      </w:r>
      <w:bookmarkEnd w:id="45"/>
      <w:bookmarkEnd w:id="46"/>
      <w:bookmarkEnd w:id="47"/>
    </w:p>
    <w:p w14:paraId="7C1528D5" w14:textId="7954F1D7" w:rsidR="0046288C" w:rsidRDefault="005F4438" w:rsidP="009E1FF4">
      <w:pPr>
        <w:pStyle w:val="Heading2"/>
        <w:rPr>
          <w:lang w:eastAsia="en-AU"/>
        </w:rPr>
      </w:pPr>
      <w:bookmarkStart w:id="48" w:name="_Toc42849601"/>
      <w:bookmarkStart w:id="49" w:name="_Toc46487130"/>
      <w:bookmarkStart w:id="50" w:name="_Toc58251555"/>
      <w:r>
        <w:rPr>
          <w:lang w:eastAsia="en-AU"/>
        </w:rPr>
        <w:t>3.1</w:t>
      </w:r>
      <w:r>
        <w:rPr>
          <w:lang w:eastAsia="en-AU"/>
        </w:rPr>
        <w:tab/>
        <w:t>Background</w:t>
      </w:r>
      <w:bookmarkEnd w:id="48"/>
      <w:bookmarkEnd w:id="49"/>
      <w:bookmarkEnd w:id="50"/>
    </w:p>
    <w:p w14:paraId="744947CE" w14:textId="11A4598A" w:rsidR="0014568E" w:rsidRDefault="0014568E" w:rsidP="0014568E">
      <w:pPr>
        <w:rPr>
          <w:lang w:eastAsia="en-AU" w:bidi="ar-SA"/>
        </w:rPr>
      </w:pPr>
      <w:r w:rsidRPr="006D7D89">
        <w:rPr>
          <w:lang w:eastAsia="en-AU" w:bidi="ar-SA"/>
        </w:rPr>
        <w:t>Schedules 15 and 16 of the Code currently permit the use of</w:t>
      </w:r>
      <w:r w:rsidR="001C6242">
        <w:rPr>
          <w:lang w:eastAsia="en-AU" w:bidi="ar-SA"/>
        </w:rPr>
        <w:t xml:space="preserve"> the food additive mono- and diglycerides (</w:t>
      </w:r>
      <w:r w:rsidRPr="006D7D89">
        <w:rPr>
          <w:lang w:eastAsia="en-AU" w:bidi="ar-SA"/>
        </w:rPr>
        <w:t>INS 471</w:t>
      </w:r>
      <w:r w:rsidR="00F3529A">
        <w:rPr>
          <w:lang w:eastAsia="en-AU" w:bidi="ar-SA"/>
        </w:rPr>
        <w:t>)</w:t>
      </w:r>
      <w:r w:rsidRPr="006D7D89">
        <w:rPr>
          <w:lang w:eastAsia="en-AU" w:bidi="ar-SA"/>
        </w:rPr>
        <w:t xml:space="preserve"> for a range of foods. The purpose of this application is to request permission to use </w:t>
      </w:r>
      <w:r w:rsidR="001C6242">
        <w:rPr>
          <w:lang w:eastAsia="en-AU" w:bidi="ar-SA"/>
        </w:rPr>
        <w:t>the food additive</w:t>
      </w:r>
      <w:r>
        <w:rPr>
          <w:lang w:eastAsia="en-AU" w:bidi="ar-SA"/>
        </w:rPr>
        <w:t xml:space="preserve"> as a glazing agent in the </w:t>
      </w:r>
      <w:r w:rsidR="00040D68">
        <w:rPr>
          <w:lang w:eastAsia="en-AU" w:bidi="ar-SA"/>
        </w:rPr>
        <w:t>f</w:t>
      </w:r>
      <w:r>
        <w:rPr>
          <w:lang w:eastAsia="en-AU" w:bidi="ar-SA"/>
        </w:rPr>
        <w:t xml:space="preserve">ood </w:t>
      </w:r>
      <w:r w:rsidR="00040D68">
        <w:rPr>
          <w:lang w:eastAsia="en-AU" w:bidi="ar-SA"/>
        </w:rPr>
        <w:t>c</w:t>
      </w:r>
      <w:r w:rsidR="007A6E8C">
        <w:rPr>
          <w:lang w:eastAsia="en-AU" w:bidi="ar-SA"/>
        </w:rPr>
        <w:t>lass</w:t>
      </w:r>
      <w:r>
        <w:rPr>
          <w:lang w:eastAsia="en-AU" w:bidi="ar-SA"/>
        </w:rPr>
        <w:t xml:space="preserve"> 4.1.2 (</w:t>
      </w:r>
      <w:r w:rsidR="00040D68">
        <w:rPr>
          <w:lang w:eastAsia="en-AU" w:bidi="ar-SA"/>
        </w:rPr>
        <w:t>s</w:t>
      </w:r>
      <w:r>
        <w:rPr>
          <w:lang w:eastAsia="en-AU" w:bidi="ar-SA"/>
        </w:rPr>
        <w:t xml:space="preserve">urface treated fruits and vegetables). </w:t>
      </w:r>
    </w:p>
    <w:p w14:paraId="3A548FF7" w14:textId="77777777" w:rsidR="0014568E" w:rsidRDefault="0014568E" w:rsidP="0014568E">
      <w:pPr>
        <w:rPr>
          <w:lang w:eastAsia="en-AU" w:bidi="ar-SA"/>
        </w:rPr>
      </w:pPr>
    </w:p>
    <w:p w14:paraId="1EB292DD" w14:textId="3BA75E8F" w:rsidR="003C1BAF" w:rsidRDefault="0014568E" w:rsidP="0014568E">
      <w:pPr>
        <w:rPr>
          <w:lang w:eastAsia="en-AU" w:bidi="ar-SA"/>
        </w:rPr>
      </w:pPr>
      <w:r>
        <w:rPr>
          <w:lang w:eastAsia="en-AU" w:bidi="ar-SA"/>
        </w:rPr>
        <w:lastRenderedPageBreak/>
        <w:t xml:space="preserve">Mono- and diglycerides as </w:t>
      </w:r>
      <w:r w:rsidR="001C6242">
        <w:rPr>
          <w:lang w:eastAsia="en-AU" w:bidi="ar-SA"/>
        </w:rPr>
        <w:t xml:space="preserve">a </w:t>
      </w:r>
      <w:r>
        <w:rPr>
          <w:lang w:eastAsia="en-AU" w:bidi="ar-SA"/>
        </w:rPr>
        <w:t>food additive were approved, within the category ‘Emulsifiers and stabilizers’ by JECFA in 1963 and 1973. An ADI of “not limited” was established at the 17</w:t>
      </w:r>
      <w:r w:rsidRPr="009B5365">
        <w:rPr>
          <w:vertAlign w:val="superscript"/>
          <w:lang w:eastAsia="en-AU" w:bidi="ar-SA"/>
        </w:rPr>
        <w:t>th</w:t>
      </w:r>
      <w:r>
        <w:rPr>
          <w:lang w:eastAsia="en-AU" w:bidi="ar-SA"/>
        </w:rPr>
        <w:t xml:space="preserve"> JECFA meeting in 1973, on the basis that mono- and diglycerides differ little from food. JECFA did not identify any further information as being required or desirable for mono- and diglycerides (JECFA, 1974a). This assessment is therefore limited to information that postdates that assessment.</w:t>
      </w:r>
    </w:p>
    <w:p w14:paraId="5923C062" w14:textId="238510DD" w:rsidR="0014568E" w:rsidRDefault="0014568E" w:rsidP="0014568E">
      <w:pPr>
        <w:rPr>
          <w:lang w:eastAsia="en-AU" w:bidi="ar-SA"/>
        </w:rPr>
      </w:pPr>
    </w:p>
    <w:p w14:paraId="4B985EA5" w14:textId="40A4BB84" w:rsidR="0014568E" w:rsidRPr="00172C48" w:rsidRDefault="0014568E" w:rsidP="00060155">
      <w:pPr>
        <w:pStyle w:val="Heading3"/>
      </w:pPr>
      <w:bookmarkStart w:id="51" w:name="_Toc42849602"/>
      <w:bookmarkStart w:id="52" w:name="_Toc46487131"/>
      <w:bookmarkStart w:id="53" w:name="_Toc58251556"/>
      <w:r w:rsidRPr="00172C48">
        <w:t>3.1.1 Evaluation of the submitted data</w:t>
      </w:r>
      <w:bookmarkEnd w:id="51"/>
      <w:bookmarkEnd w:id="52"/>
      <w:bookmarkEnd w:id="53"/>
    </w:p>
    <w:p w14:paraId="2F73C120" w14:textId="27DBF73B" w:rsidR="0014568E" w:rsidRPr="005F4FEF" w:rsidRDefault="0014568E" w:rsidP="0014568E">
      <w:pPr>
        <w:rPr>
          <w:lang w:eastAsia="en-AU" w:bidi="ar-SA"/>
        </w:rPr>
      </w:pPr>
      <w:r w:rsidRPr="00172C48">
        <w:rPr>
          <w:lang w:eastAsia="en-AU" w:bidi="ar-SA"/>
        </w:rPr>
        <w:t>FSANZ has assessed the submitted evidence on the safety of the food additive mono- and diglyc</w:t>
      </w:r>
      <w:r>
        <w:rPr>
          <w:lang w:eastAsia="en-AU" w:bidi="ar-SA"/>
        </w:rPr>
        <w:t xml:space="preserve">erides of fatty acids (INS 471), </w:t>
      </w:r>
      <w:r w:rsidRPr="009A349E">
        <w:rPr>
          <w:lang w:eastAsia="en-AU" w:bidi="ar-SA"/>
        </w:rPr>
        <w:t>and information from other sources</w:t>
      </w:r>
      <w:r w:rsidR="00E06311">
        <w:rPr>
          <w:lang w:eastAsia="en-AU" w:bidi="ar-SA"/>
        </w:rPr>
        <w:t>.</w:t>
      </w:r>
    </w:p>
    <w:p w14:paraId="06C4B2A8" w14:textId="77777777" w:rsidR="0014568E" w:rsidRPr="005F4FEF" w:rsidRDefault="0014568E" w:rsidP="0014568E">
      <w:pPr>
        <w:rPr>
          <w:lang w:eastAsia="en-AU" w:bidi="ar-SA"/>
        </w:rPr>
      </w:pPr>
    </w:p>
    <w:p w14:paraId="287B8C42" w14:textId="4E68DEDE" w:rsidR="003C1BAF" w:rsidRDefault="0014568E" w:rsidP="0014568E">
      <w:pPr>
        <w:rPr>
          <w:lang w:eastAsia="en-AU" w:bidi="ar-SA"/>
        </w:rPr>
      </w:pPr>
      <w:r w:rsidRPr="00214B1F">
        <w:rPr>
          <w:lang w:eastAsia="en-AU" w:bidi="ar-SA"/>
        </w:rPr>
        <w:t xml:space="preserve">The data </w:t>
      </w:r>
      <w:r w:rsidR="00343AE2">
        <w:rPr>
          <w:lang w:eastAsia="en-AU" w:bidi="ar-SA"/>
        </w:rPr>
        <w:t xml:space="preserve">are considered suitable to assess the hazard of INS 471 and </w:t>
      </w:r>
      <w:r w:rsidRPr="00214B1F">
        <w:rPr>
          <w:lang w:eastAsia="en-AU" w:bidi="ar-SA"/>
        </w:rPr>
        <w:t xml:space="preserve">include information on </w:t>
      </w:r>
      <w:r w:rsidRPr="001753D1">
        <w:rPr>
          <w:lang w:eastAsia="en-AU" w:bidi="ar-SA"/>
        </w:rPr>
        <w:t xml:space="preserve">kinetics and metabolism, </w:t>
      </w:r>
      <w:r w:rsidRPr="00FE7205">
        <w:rPr>
          <w:lang w:eastAsia="en-AU" w:bidi="ar-SA"/>
        </w:rPr>
        <w:t>genotoxicity</w:t>
      </w:r>
      <w:r w:rsidR="006D5F9F">
        <w:rPr>
          <w:lang w:eastAsia="en-AU" w:bidi="ar-SA"/>
        </w:rPr>
        <w:t>,</w:t>
      </w:r>
      <w:r w:rsidRPr="00C33876">
        <w:rPr>
          <w:lang w:eastAsia="en-AU" w:bidi="ar-SA"/>
        </w:rPr>
        <w:t xml:space="preserve"> toxicity in laboratory animals</w:t>
      </w:r>
      <w:r w:rsidR="006D5F9F">
        <w:rPr>
          <w:lang w:eastAsia="en-AU" w:bidi="ar-SA"/>
        </w:rPr>
        <w:t xml:space="preserve">, </w:t>
      </w:r>
      <w:r w:rsidR="00762477">
        <w:rPr>
          <w:lang w:eastAsia="en-AU" w:bidi="ar-SA"/>
        </w:rPr>
        <w:t xml:space="preserve">and </w:t>
      </w:r>
      <w:r w:rsidR="006D5F9F">
        <w:rPr>
          <w:lang w:eastAsia="en-AU" w:bidi="ar-SA"/>
        </w:rPr>
        <w:t>a study in human volunteers</w:t>
      </w:r>
      <w:r w:rsidRPr="00C33876">
        <w:rPr>
          <w:lang w:eastAsia="en-AU" w:bidi="ar-SA"/>
        </w:rPr>
        <w:t xml:space="preserve">. </w:t>
      </w:r>
      <w:r w:rsidR="006D5F9F">
        <w:rPr>
          <w:lang w:eastAsia="en-AU" w:bidi="ar-SA"/>
        </w:rPr>
        <w:t xml:space="preserve">Most of the studies were conducted using dietary diacylglycerol (diglyceride) </w:t>
      </w:r>
      <w:r w:rsidR="000F292C">
        <w:rPr>
          <w:lang w:eastAsia="en-AU" w:bidi="ar-SA"/>
        </w:rPr>
        <w:t>oil that</w:t>
      </w:r>
      <w:r w:rsidR="006D5F9F">
        <w:rPr>
          <w:lang w:eastAsia="en-AU" w:bidi="ar-SA"/>
        </w:rPr>
        <w:t xml:space="preserve"> is considered sufficiently similar to</w:t>
      </w:r>
      <w:r w:rsidR="001C6242">
        <w:rPr>
          <w:lang w:eastAsia="en-AU" w:bidi="ar-SA"/>
        </w:rPr>
        <w:t xml:space="preserve"> the food additive</w:t>
      </w:r>
      <w:r w:rsidR="006D5F9F">
        <w:rPr>
          <w:lang w:eastAsia="en-AU" w:bidi="ar-SA"/>
        </w:rPr>
        <w:t xml:space="preserve"> </w:t>
      </w:r>
      <w:r w:rsidR="006A24DE">
        <w:rPr>
          <w:lang w:eastAsia="en-AU" w:bidi="ar-SA"/>
        </w:rPr>
        <w:t>that is the subject of this application.</w:t>
      </w:r>
    </w:p>
    <w:p w14:paraId="43069C31" w14:textId="75CB7F54" w:rsidR="0014568E" w:rsidRPr="00294690" w:rsidRDefault="0014568E" w:rsidP="0014568E">
      <w:pPr>
        <w:rPr>
          <w:lang w:eastAsia="en-AU" w:bidi="ar-SA"/>
        </w:rPr>
      </w:pPr>
    </w:p>
    <w:p w14:paraId="6FA2D060" w14:textId="7FB00ED8" w:rsidR="0014568E" w:rsidRDefault="0014568E" w:rsidP="00060155">
      <w:pPr>
        <w:pStyle w:val="Heading3"/>
      </w:pPr>
      <w:bookmarkStart w:id="54" w:name="_Toc42849603"/>
      <w:bookmarkStart w:id="55" w:name="_Toc46487132"/>
      <w:bookmarkStart w:id="56" w:name="_Toc58251557"/>
      <w:r w:rsidRPr="00172C48">
        <w:t xml:space="preserve">3.1.2 Characteristics of </w:t>
      </w:r>
      <w:bookmarkEnd w:id="54"/>
      <w:r w:rsidR="001C6242">
        <w:t>the food additive</w:t>
      </w:r>
      <w:bookmarkEnd w:id="55"/>
      <w:bookmarkEnd w:id="56"/>
    </w:p>
    <w:p w14:paraId="5420E524" w14:textId="1AE0B05B" w:rsidR="0014568E" w:rsidRDefault="0014568E" w:rsidP="0014568E">
      <w:pPr>
        <w:rPr>
          <w:lang w:eastAsia="en-AU" w:bidi="ar-SA"/>
        </w:rPr>
      </w:pPr>
      <w:r w:rsidRPr="00172C48">
        <w:rPr>
          <w:lang w:eastAsia="en-AU" w:bidi="ar-SA"/>
        </w:rPr>
        <w:t xml:space="preserve">The chemical characteristics of </w:t>
      </w:r>
      <w:r w:rsidR="001C6242">
        <w:rPr>
          <w:lang w:eastAsia="en-AU" w:bidi="ar-SA"/>
        </w:rPr>
        <w:t>the food additive</w:t>
      </w:r>
      <w:r w:rsidRPr="00172C48">
        <w:rPr>
          <w:lang w:eastAsia="en-AU" w:bidi="ar-SA"/>
        </w:rPr>
        <w:t xml:space="preserve"> are discussed in detail in Section 2.</w:t>
      </w:r>
    </w:p>
    <w:p w14:paraId="6D230994" w14:textId="77777777" w:rsidR="00874B2E" w:rsidRPr="00172C48" w:rsidRDefault="00874B2E" w:rsidP="0014568E">
      <w:pPr>
        <w:rPr>
          <w:lang w:eastAsia="en-AU" w:bidi="ar-SA"/>
        </w:rPr>
      </w:pPr>
    </w:p>
    <w:p w14:paraId="44AF8F8C" w14:textId="0B572499" w:rsidR="005F4438" w:rsidRDefault="005F4438" w:rsidP="009E1FF4">
      <w:pPr>
        <w:pStyle w:val="Heading2"/>
        <w:rPr>
          <w:lang w:eastAsia="en-AU"/>
        </w:rPr>
      </w:pPr>
      <w:bookmarkStart w:id="57" w:name="_Toc42849604"/>
      <w:bookmarkStart w:id="58" w:name="_Toc46487133"/>
      <w:bookmarkStart w:id="59" w:name="_Toc58251558"/>
      <w:r>
        <w:rPr>
          <w:lang w:eastAsia="en-AU"/>
        </w:rPr>
        <w:t>3.2</w:t>
      </w:r>
      <w:r>
        <w:rPr>
          <w:lang w:eastAsia="en-AU"/>
        </w:rPr>
        <w:tab/>
        <w:t>Toxicokinetics and metabolism</w:t>
      </w:r>
      <w:bookmarkEnd w:id="57"/>
      <w:bookmarkEnd w:id="58"/>
      <w:bookmarkEnd w:id="59"/>
    </w:p>
    <w:p w14:paraId="3CB273F3" w14:textId="77777777" w:rsidR="006A24DE" w:rsidRDefault="0014568E" w:rsidP="0014568E">
      <w:pPr>
        <w:rPr>
          <w:lang w:eastAsia="en-AU" w:bidi="ar-SA"/>
        </w:rPr>
      </w:pPr>
      <w:r>
        <w:rPr>
          <w:lang w:eastAsia="en-AU" w:bidi="ar-SA"/>
        </w:rPr>
        <w:t xml:space="preserve">Mono- and diglycerides are normally present in food, and are also formed from triglycerides by the action of endogenous lipases in the gastrointestinal tract. They are absorbed by enterocytes and transported to the liver, where they may be reformed into triglycerides or metabolized into carbon dioxide, acetate and ketones (JECFA 1974a; </w:t>
      </w:r>
      <w:r w:rsidRPr="0026092E">
        <w:rPr>
          <w:lang w:eastAsia="en-AU" w:bidi="ar-SA"/>
        </w:rPr>
        <w:t>Yang and Kuksis 1991</w:t>
      </w:r>
      <w:r>
        <w:rPr>
          <w:lang w:eastAsia="en-AU" w:bidi="ar-SA"/>
        </w:rPr>
        <w:t>; Lien et al 1997; H</w:t>
      </w:r>
      <w:r w:rsidR="00377DB6">
        <w:rPr>
          <w:rFonts w:cs="Arial"/>
          <w:lang w:eastAsia="en-AU" w:bidi="ar-SA"/>
        </w:rPr>
        <w:t>ø</w:t>
      </w:r>
      <w:r>
        <w:rPr>
          <w:lang w:eastAsia="en-AU" w:bidi="ar-SA"/>
        </w:rPr>
        <w:t xml:space="preserve">y and </w:t>
      </w:r>
      <w:r w:rsidR="00377DB6">
        <w:rPr>
          <w:lang w:eastAsia="en-AU" w:bidi="ar-SA"/>
        </w:rPr>
        <w:t>X</w:t>
      </w:r>
      <w:r>
        <w:rPr>
          <w:lang w:eastAsia="en-AU" w:bidi="ar-SA"/>
        </w:rPr>
        <w:t>u 2001</w:t>
      </w:r>
      <w:r w:rsidR="00B8021A">
        <w:rPr>
          <w:lang w:eastAsia="en-AU" w:bidi="ar-SA"/>
        </w:rPr>
        <w:t xml:space="preserve"> </w:t>
      </w:r>
      <w:r>
        <w:rPr>
          <w:lang w:eastAsia="en-AU" w:bidi="ar-SA"/>
        </w:rPr>
        <w:t xml:space="preserve">). </w:t>
      </w:r>
    </w:p>
    <w:p w14:paraId="0A316D28" w14:textId="77777777" w:rsidR="006A24DE" w:rsidRDefault="006A24DE" w:rsidP="0014568E">
      <w:pPr>
        <w:rPr>
          <w:lang w:eastAsia="en-AU" w:bidi="ar-SA"/>
        </w:rPr>
      </w:pPr>
    </w:p>
    <w:p w14:paraId="0D36D183" w14:textId="62B66444" w:rsidR="00582A3C" w:rsidRDefault="0014568E" w:rsidP="0014568E">
      <w:pPr>
        <w:rPr>
          <w:highlight w:val="yellow"/>
          <w:lang w:eastAsia="en-AU" w:bidi="ar-SA"/>
        </w:rPr>
      </w:pPr>
      <w:r>
        <w:rPr>
          <w:lang w:eastAsia="en-AU" w:bidi="ar-SA"/>
        </w:rPr>
        <w:t>On th</w:t>
      </w:r>
      <w:r w:rsidR="00762477">
        <w:rPr>
          <w:lang w:eastAsia="en-AU" w:bidi="ar-SA"/>
        </w:rPr>
        <w:t>at</w:t>
      </w:r>
      <w:r>
        <w:rPr>
          <w:lang w:eastAsia="en-AU" w:bidi="ar-SA"/>
        </w:rPr>
        <w:t xml:space="preserve"> basis, JECFA (1974 a,b) concluded that mono- and diglycerides used as food additives do not significantly differ from those naturally present in the diet, although saturated long-chain fatty acids, if present, may have lower digestibility than unsaturated fatty acids if fed alone. No new information was submitted or located by literature search that contradicts the conclusions of JECFA (1974a,b</w:t>
      </w:r>
      <w:r w:rsidRPr="009B1C44">
        <w:rPr>
          <w:lang w:eastAsia="en-AU" w:bidi="ar-SA"/>
        </w:rPr>
        <w:t xml:space="preserve">). </w:t>
      </w:r>
    </w:p>
    <w:p w14:paraId="0E021A88" w14:textId="24A611E3" w:rsidR="002E015D" w:rsidRDefault="002E015D" w:rsidP="0014568E">
      <w:pPr>
        <w:rPr>
          <w:lang w:eastAsia="en-AU" w:bidi="ar-SA"/>
        </w:rPr>
      </w:pPr>
    </w:p>
    <w:p w14:paraId="7759B9C1" w14:textId="77777777" w:rsidR="0014568E" w:rsidRDefault="0014568E" w:rsidP="0014568E">
      <w:pPr>
        <w:rPr>
          <w:lang w:eastAsia="en-AU" w:bidi="ar-SA"/>
        </w:rPr>
      </w:pPr>
      <w:r>
        <w:rPr>
          <w:lang w:eastAsia="en-AU" w:bidi="ar-SA"/>
        </w:rPr>
        <w:t xml:space="preserve">In vitro </w:t>
      </w:r>
      <w:r w:rsidRPr="00CB134A">
        <w:rPr>
          <w:i/>
          <w:lang w:eastAsia="en-AU" w:bidi="ar-SA"/>
        </w:rPr>
        <w:t>intestinal digestion of 1,3-diglyceride and 1-monoglyceride oils (Martin et al 2014). Regulatory status: not GLP</w:t>
      </w:r>
      <w:r>
        <w:rPr>
          <w:lang w:eastAsia="en-AU" w:bidi="ar-SA"/>
        </w:rPr>
        <w:t xml:space="preserve"> </w:t>
      </w:r>
    </w:p>
    <w:p w14:paraId="4838292F" w14:textId="77777777" w:rsidR="0014568E" w:rsidRDefault="0014568E" w:rsidP="0014568E">
      <w:pPr>
        <w:rPr>
          <w:lang w:eastAsia="en-AU" w:bidi="ar-SA"/>
        </w:rPr>
      </w:pPr>
    </w:p>
    <w:p w14:paraId="2D90C485" w14:textId="7B6CFA7A" w:rsidR="0014568E" w:rsidRDefault="0014568E" w:rsidP="0014568E">
      <w:pPr>
        <w:rPr>
          <w:lang w:eastAsia="en-AU" w:bidi="ar-SA"/>
        </w:rPr>
      </w:pPr>
      <w:r>
        <w:rPr>
          <w:lang w:eastAsia="en-AU" w:bidi="ar-SA"/>
        </w:rPr>
        <w:t xml:space="preserve">The test substances for this study were concentrated diolein oil (DO), concentrated </w:t>
      </w:r>
      <w:r>
        <w:rPr>
          <w:lang w:eastAsia="en-AU" w:bidi="ar-SA"/>
        </w:rPr>
        <w:lastRenderedPageBreak/>
        <w:t xml:space="preserve">monoolein oil (MO), a 1:1 mixture of </w:t>
      </w:r>
      <w:r w:rsidR="001C6242">
        <w:rPr>
          <w:lang w:eastAsia="en-AU" w:bidi="ar-SA"/>
        </w:rPr>
        <w:t xml:space="preserve">DO </w:t>
      </w:r>
      <w:r>
        <w:rPr>
          <w:lang w:eastAsia="en-AU" w:bidi="ar-SA"/>
        </w:rPr>
        <w:t>and MO and, as a representative triolein-rich oil (TO), olive oil. Test substances were emulsified in Trizma-maleate buffer. A simulated biliary secretion was prepared using lecithin, bile salts, cholesterol, CaCl</w:t>
      </w:r>
      <w:r>
        <w:rPr>
          <w:vertAlign w:val="subscript"/>
          <w:lang w:eastAsia="en-AU" w:bidi="ar-SA"/>
        </w:rPr>
        <w:t>2</w:t>
      </w:r>
      <w:r>
        <w:rPr>
          <w:lang w:eastAsia="en-AU" w:bidi="ar-SA"/>
        </w:rPr>
        <w:t xml:space="preserve">, NaCl and Trizma-maleate buffer. Test substances and the simulated </w:t>
      </w:r>
      <w:r w:rsidR="000F292C">
        <w:rPr>
          <w:lang w:eastAsia="en-AU" w:bidi="ar-SA"/>
        </w:rPr>
        <w:t>biliary</w:t>
      </w:r>
      <w:r>
        <w:rPr>
          <w:lang w:eastAsia="en-AU" w:bidi="ar-SA"/>
        </w:rPr>
        <w:t xml:space="preserve"> secretion were emulsified together, prior to the addition of pancreatin in Trizma-maleate buffer to start the simulation of intestinal digestion. Digestion was conducted in triplicate at 37</w:t>
      </w:r>
      <w:r>
        <w:rPr>
          <w:rFonts w:cs="Arial"/>
          <w:lang w:eastAsia="en-AU" w:bidi="ar-SA"/>
        </w:rPr>
        <w:t>°</w:t>
      </w:r>
      <w:r>
        <w:rPr>
          <w:lang w:eastAsia="en-AU" w:bidi="ar-SA"/>
        </w:rPr>
        <w:t xml:space="preserve">C with continuous stirring, and aliquots were taken at 0, 5, 10, 30 and 60 minutes. Lipids were extracted from the aliquots and quantified. The rate of lipolysis was, in increasing order, TO&lt;DO&lt;DO:MO&lt;MO. </w:t>
      </w:r>
      <w:r w:rsidR="007014E7">
        <w:rPr>
          <w:lang w:eastAsia="en-AU" w:bidi="ar-SA"/>
        </w:rPr>
        <w:t xml:space="preserve">At the end of the digestion, the DO:MO mixture was hydrolysed to digestable products to the same extent as MO. The bioaccessibility of </w:t>
      </w:r>
      <w:r>
        <w:rPr>
          <w:lang w:eastAsia="en-AU" w:bidi="ar-SA"/>
        </w:rPr>
        <w:t xml:space="preserve">DO, MO and DO:MO were all considered to be comparable. </w:t>
      </w:r>
    </w:p>
    <w:p w14:paraId="414D7AE3" w14:textId="12A3DD11" w:rsidR="002E015D" w:rsidRDefault="002E015D" w:rsidP="0014568E">
      <w:pPr>
        <w:rPr>
          <w:lang w:eastAsia="en-AU" w:bidi="ar-SA"/>
        </w:rPr>
      </w:pPr>
    </w:p>
    <w:p w14:paraId="355D0F79" w14:textId="77777777" w:rsidR="0014568E" w:rsidRDefault="0014568E" w:rsidP="0014568E">
      <w:pPr>
        <w:rPr>
          <w:i/>
          <w:lang w:eastAsia="en-AU" w:bidi="ar-SA"/>
        </w:rPr>
      </w:pPr>
      <w:r w:rsidRPr="00962682">
        <w:rPr>
          <w:i/>
          <w:lang w:eastAsia="en-AU" w:bidi="ar-SA"/>
        </w:rPr>
        <w:t>Bioavailability study on diacylglycerol microemulsion in Sprague Dawley rats (Chen et al 2013). Regulatory status: Not GLP</w:t>
      </w:r>
    </w:p>
    <w:p w14:paraId="4E276E92" w14:textId="77777777" w:rsidR="0014568E" w:rsidRDefault="0014568E" w:rsidP="0014568E">
      <w:pPr>
        <w:rPr>
          <w:i/>
          <w:lang w:eastAsia="en-AU" w:bidi="ar-SA"/>
        </w:rPr>
      </w:pPr>
    </w:p>
    <w:p w14:paraId="59C9BA2B" w14:textId="33114E95" w:rsidR="0014568E" w:rsidRDefault="0014568E" w:rsidP="008A0087">
      <w:pPr>
        <w:rPr>
          <w:lang w:eastAsia="en-AU" w:bidi="ar-SA"/>
        </w:rPr>
      </w:pPr>
      <w:r>
        <w:rPr>
          <w:lang w:eastAsia="en-AU" w:bidi="ar-SA"/>
        </w:rPr>
        <w:t xml:space="preserve">Diacylglycerol </w:t>
      </w:r>
      <w:r w:rsidR="006D5F9F">
        <w:rPr>
          <w:lang w:eastAsia="en-AU" w:bidi="ar-SA"/>
        </w:rPr>
        <w:t xml:space="preserve">(diglyceride) </w:t>
      </w:r>
      <w:r>
        <w:rPr>
          <w:lang w:eastAsia="en-AU" w:bidi="ar-SA"/>
        </w:rPr>
        <w:t>oil (DAG), with 18:1 and 18:2 fatty acids predominating, was prepared as a microemulsion (DAGM) using food-grade surfactants. Male Sprague</w:t>
      </w:r>
      <w:r w:rsidR="000F292C">
        <w:rPr>
          <w:lang w:eastAsia="en-AU" w:bidi="ar-SA"/>
        </w:rPr>
        <w:t xml:space="preserve"> </w:t>
      </w:r>
      <w:r>
        <w:rPr>
          <w:lang w:eastAsia="en-AU" w:bidi="ar-SA"/>
        </w:rPr>
        <w:t>Dawley rats, 5 weeks old at receipt, were acclimati</w:t>
      </w:r>
      <w:r w:rsidR="00DB7A89">
        <w:rPr>
          <w:lang w:eastAsia="en-AU" w:bidi="ar-SA"/>
        </w:rPr>
        <w:t>s</w:t>
      </w:r>
      <w:r>
        <w:rPr>
          <w:lang w:eastAsia="en-AU" w:bidi="ar-SA"/>
        </w:rPr>
        <w:t>e</w:t>
      </w:r>
      <w:r w:rsidR="00DB7A89">
        <w:rPr>
          <w:lang w:eastAsia="en-AU" w:bidi="ar-SA"/>
        </w:rPr>
        <w:t>d</w:t>
      </w:r>
      <w:r>
        <w:rPr>
          <w:lang w:eastAsia="en-AU" w:bidi="ar-SA"/>
        </w:rPr>
        <w:t xml:space="preserve"> to laboratory environmental conditions and to a fat-free diet for one week prior to study start. Food was withheld for 12 h before the first treatment. On the first day of study, rats were randomly assigned to two groups, with nine rats in each group. One group was gavaged with 10 mL/kg bw DAGM, equivalent to 2.5 mL/kg bw DAG. The other group was gavaged with</w:t>
      </w:r>
      <w:r w:rsidR="007014E7">
        <w:rPr>
          <w:lang w:eastAsia="en-AU" w:bidi="ar-SA"/>
        </w:rPr>
        <w:t xml:space="preserve"> a combination of </w:t>
      </w:r>
      <w:r w:rsidR="007014E7" w:rsidRPr="007014E7">
        <w:rPr>
          <w:lang w:eastAsia="en-AU" w:bidi="ar-SA"/>
        </w:rPr>
        <w:t>2.5 mL/kg bw</w:t>
      </w:r>
      <w:r w:rsidR="007014E7">
        <w:rPr>
          <w:lang w:eastAsia="en-AU" w:bidi="ar-SA"/>
        </w:rPr>
        <w:t xml:space="preserve"> </w:t>
      </w:r>
      <w:r>
        <w:rPr>
          <w:lang w:eastAsia="en-AU" w:bidi="ar-SA"/>
        </w:rPr>
        <w:t>DAG and 7.5 mL/kg bw</w:t>
      </w:r>
      <w:r w:rsidR="007014E7">
        <w:rPr>
          <w:lang w:eastAsia="en-AU" w:bidi="ar-SA"/>
        </w:rPr>
        <w:t xml:space="preserve"> </w:t>
      </w:r>
      <w:r w:rsidR="007014E7" w:rsidRPr="007014E7">
        <w:rPr>
          <w:lang w:eastAsia="en-AU" w:bidi="ar-SA"/>
        </w:rPr>
        <w:t>distilled water</w:t>
      </w:r>
      <w:r>
        <w:rPr>
          <w:lang w:eastAsia="en-AU" w:bidi="ar-SA"/>
        </w:rPr>
        <w:t xml:space="preserve">. Blood was collected from the tail vein of 3 rats/group at 0, 6, and 24 h after dosing for lipid analysis. Rats were maintained in metabolic cages with free access to water and fat-free diet, and gavaged daily with their assigned test substance. Food intake was measured daily and bodyweight was recorded every three days. Faeces were collected on the last day of study for lipid analysis. The digestibility coefficient of the DAG was calculated to be 58.8 </w:t>
      </w:r>
      <w:r>
        <w:rPr>
          <w:rFonts w:cs="Arial"/>
          <w:lang w:eastAsia="en-AU" w:bidi="ar-SA"/>
        </w:rPr>
        <w:t>±</w:t>
      </w:r>
      <w:r>
        <w:rPr>
          <w:lang w:eastAsia="en-AU" w:bidi="ar-SA"/>
        </w:rPr>
        <w:t xml:space="preserve"> 14.33%, and to equal the absorption. </w:t>
      </w:r>
      <w:r w:rsidR="007014E7">
        <w:rPr>
          <w:lang w:eastAsia="en-AU" w:bidi="ar-SA"/>
        </w:rPr>
        <w:t>The group mean serum fatty acid concentration remained stable in the DAG group, but increased at 6 h after dosing in the DAGM group, Compared with the DAG</w:t>
      </w:r>
      <w:r w:rsidR="008A0087">
        <w:rPr>
          <w:lang w:eastAsia="en-AU" w:bidi="ar-SA"/>
        </w:rPr>
        <w:t xml:space="preserve"> </w:t>
      </w:r>
      <w:r w:rsidR="007014E7">
        <w:rPr>
          <w:lang w:eastAsia="en-AU" w:bidi="ar-SA"/>
        </w:rPr>
        <w:t>group, the DAGM</w:t>
      </w:r>
      <w:r w:rsidR="008A0087">
        <w:rPr>
          <w:lang w:eastAsia="en-AU" w:bidi="ar-SA"/>
        </w:rPr>
        <w:t xml:space="preserve"> </w:t>
      </w:r>
      <w:r w:rsidR="007014E7">
        <w:rPr>
          <w:lang w:eastAsia="en-AU" w:bidi="ar-SA"/>
        </w:rPr>
        <w:t xml:space="preserve">group had significantly higher serum fatty acid  concentration at 6 h after dosing (P = 0.043). However, there was no significant difference in group mean serum fatty acid concentration at 0 or 24 h. </w:t>
      </w:r>
      <w:r w:rsidR="008A0087">
        <w:rPr>
          <w:lang w:eastAsia="en-AU" w:bidi="ar-SA"/>
        </w:rPr>
        <w:t>There was no significant difference in group mean bodyweights at Day 0 or Day 14, although total food consumption was significantly higher in the DAG group.</w:t>
      </w:r>
      <w:r w:rsidR="008A0087" w:rsidRPr="008A0087">
        <w:t xml:space="preserve"> </w:t>
      </w:r>
      <w:r w:rsidR="008A0087">
        <w:rPr>
          <w:lang w:eastAsia="en-AU" w:bidi="ar-SA"/>
        </w:rPr>
        <w:t>Although there was no significant difference between the two groups for fat intake or dried faeces mass, the levels of fat excretion and fat content of dried faeces of the DAGM group were both significantly less than those of the DAG group. There was a significantly higher level of fat absorption in the DAGM group than in the DAG oil group (P = 0.001).</w:t>
      </w:r>
    </w:p>
    <w:p w14:paraId="2923BD14" w14:textId="4969786A" w:rsidR="005F4438" w:rsidRDefault="005F4438" w:rsidP="005F4438">
      <w:pPr>
        <w:rPr>
          <w:lang w:eastAsia="en-AU" w:bidi="ar-SA"/>
        </w:rPr>
      </w:pPr>
    </w:p>
    <w:p w14:paraId="7BD8DB4F" w14:textId="4BBB7610" w:rsidR="005F4438" w:rsidRDefault="005F4438" w:rsidP="009E1FF4">
      <w:pPr>
        <w:pStyle w:val="Heading2"/>
        <w:rPr>
          <w:lang w:eastAsia="en-AU"/>
        </w:rPr>
      </w:pPr>
      <w:bookmarkStart w:id="60" w:name="_Toc42849605"/>
      <w:bookmarkStart w:id="61" w:name="_Toc46487134"/>
      <w:bookmarkStart w:id="62" w:name="_Toc58251559"/>
      <w:r>
        <w:rPr>
          <w:lang w:eastAsia="en-AU"/>
        </w:rPr>
        <w:lastRenderedPageBreak/>
        <w:t>3.3</w:t>
      </w:r>
      <w:r>
        <w:rPr>
          <w:lang w:eastAsia="en-AU"/>
        </w:rPr>
        <w:tab/>
        <w:t>Toxicity studies</w:t>
      </w:r>
      <w:bookmarkEnd w:id="60"/>
      <w:bookmarkEnd w:id="61"/>
      <w:bookmarkEnd w:id="62"/>
    </w:p>
    <w:p w14:paraId="251647CD" w14:textId="683FCCDB" w:rsidR="005F4438" w:rsidRPr="00812B3E" w:rsidRDefault="005F4438" w:rsidP="00812B3E">
      <w:pPr>
        <w:pStyle w:val="Heading3"/>
      </w:pPr>
      <w:bookmarkStart w:id="63" w:name="_Toc42849607"/>
      <w:bookmarkStart w:id="64" w:name="_Toc46487135"/>
      <w:bookmarkStart w:id="65" w:name="_Toc58251560"/>
      <w:r w:rsidRPr="00812B3E">
        <w:t>3.3.</w:t>
      </w:r>
      <w:r w:rsidR="00812B3E" w:rsidRPr="00812B3E">
        <w:t>1</w:t>
      </w:r>
      <w:r w:rsidRPr="00812B3E">
        <w:tab/>
        <w:t>Studies in experimental animals</w:t>
      </w:r>
      <w:bookmarkEnd w:id="63"/>
      <w:bookmarkEnd w:id="64"/>
      <w:bookmarkEnd w:id="65"/>
    </w:p>
    <w:p w14:paraId="32857EEF" w14:textId="10DD934A" w:rsidR="005F4438" w:rsidRDefault="005F4438" w:rsidP="005F4438">
      <w:pPr>
        <w:pStyle w:val="Heading4"/>
        <w:rPr>
          <w:lang w:eastAsia="en-AU"/>
        </w:rPr>
      </w:pPr>
      <w:r>
        <w:rPr>
          <w:lang w:eastAsia="en-AU"/>
        </w:rPr>
        <w:t>3.3.</w:t>
      </w:r>
      <w:r w:rsidR="00812B3E">
        <w:rPr>
          <w:lang w:eastAsia="en-AU"/>
        </w:rPr>
        <w:t>1</w:t>
      </w:r>
      <w:r>
        <w:rPr>
          <w:lang w:eastAsia="en-AU"/>
        </w:rPr>
        <w:t>.1</w:t>
      </w:r>
      <w:r>
        <w:rPr>
          <w:lang w:eastAsia="en-AU"/>
        </w:rPr>
        <w:tab/>
        <w:t>Acute toxicity studies</w:t>
      </w:r>
    </w:p>
    <w:p w14:paraId="1F682F43" w14:textId="10C52F07" w:rsidR="005F4FEF" w:rsidRDefault="005F4FEF" w:rsidP="005F4FEF">
      <w:pPr>
        <w:rPr>
          <w:lang w:eastAsia="en-AU" w:bidi="ar-SA"/>
        </w:rPr>
      </w:pPr>
      <w:r w:rsidRPr="005F4FEF">
        <w:rPr>
          <w:lang w:eastAsia="en-AU" w:bidi="ar-SA"/>
        </w:rPr>
        <w:t>No information was located concerning the acute toxicity of monoglycerides.</w:t>
      </w:r>
    </w:p>
    <w:p w14:paraId="6CD8F26D" w14:textId="77777777" w:rsidR="005F4FEF" w:rsidRPr="005F4FEF" w:rsidRDefault="005F4FEF" w:rsidP="005F4FEF">
      <w:pPr>
        <w:rPr>
          <w:lang w:eastAsia="en-AU" w:bidi="ar-SA"/>
        </w:rPr>
      </w:pPr>
    </w:p>
    <w:p w14:paraId="2A47EAB5" w14:textId="77777777" w:rsidR="008A1DB5" w:rsidRDefault="0014568E" w:rsidP="008A1DB5">
      <w:pPr>
        <w:rPr>
          <w:lang w:eastAsia="en-AU" w:bidi="ar-SA"/>
        </w:rPr>
      </w:pPr>
      <w:r>
        <w:rPr>
          <w:lang w:eastAsia="en-AU" w:bidi="ar-SA"/>
        </w:rPr>
        <w:t xml:space="preserve">Morita and Soni (2009) reviewed three acute oral gavage studies of diacylglycerol oil in rats. No acute toxicity was observed in any of the studies at the highest dose administered, which was 5000 mg/kg bw in one study and 15,000 mg/kg bw in the other two studies. </w:t>
      </w:r>
    </w:p>
    <w:p w14:paraId="35C27D2D" w14:textId="6B59C6B7" w:rsidR="008A1DB5" w:rsidRDefault="008A1DB5" w:rsidP="008A1DB5">
      <w:pPr>
        <w:rPr>
          <w:lang w:eastAsia="en-AU" w:bidi="ar-SA"/>
        </w:rPr>
      </w:pPr>
    </w:p>
    <w:p w14:paraId="6E295489" w14:textId="77777777" w:rsidR="00D15F28" w:rsidRDefault="00D15F28" w:rsidP="008A1DB5">
      <w:pPr>
        <w:rPr>
          <w:lang w:eastAsia="en-AU" w:bidi="ar-SA"/>
        </w:rPr>
      </w:pPr>
    </w:p>
    <w:p w14:paraId="15BBD61B" w14:textId="14EF2747" w:rsidR="008A1DB5" w:rsidRDefault="008A1DB5" w:rsidP="008A1DB5">
      <w:pPr>
        <w:rPr>
          <w:i/>
          <w:lang w:eastAsia="en-AU" w:bidi="ar-SA"/>
        </w:rPr>
      </w:pPr>
      <w:r w:rsidRPr="00046D7C">
        <w:rPr>
          <w:i/>
          <w:lang w:eastAsia="en-AU" w:bidi="ar-SA"/>
        </w:rPr>
        <w:t xml:space="preserve">Acute oral toxicity study of diacylglycerol microemulsion in ICR mice. Huang et al (2011). Regulatory status: Not GLP </w:t>
      </w:r>
    </w:p>
    <w:p w14:paraId="621178F0" w14:textId="77777777" w:rsidR="008A1DB5" w:rsidRDefault="008A1DB5" w:rsidP="008A1DB5">
      <w:pPr>
        <w:rPr>
          <w:i/>
          <w:lang w:eastAsia="en-AU" w:bidi="ar-SA"/>
        </w:rPr>
      </w:pPr>
    </w:p>
    <w:p w14:paraId="535972B1" w14:textId="77777777" w:rsidR="008A1DB5" w:rsidRDefault="008A1DB5" w:rsidP="008A1DB5">
      <w:pPr>
        <w:rPr>
          <w:lang w:eastAsia="en-AU" w:bidi="ar-SA"/>
        </w:rPr>
      </w:pPr>
      <w:r>
        <w:rPr>
          <w:lang w:eastAsia="en-AU" w:bidi="ar-SA"/>
        </w:rPr>
        <w:t xml:space="preserve">Diacylglycerol oil (DAG) containing 87% diglycerides, 2% monoglycerides and 11% triglycerides was used to formulate a DAG microemulsion (DAGM) containing 25% w/w DAG, with the balance being distilled water and food-grade surfactants. </w:t>
      </w:r>
    </w:p>
    <w:p w14:paraId="2991D289" w14:textId="77777777" w:rsidR="008A1DB5" w:rsidRDefault="008A1DB5" w:rsidP="008A1DB5">
      <w:pPr>
        <w:rPr>
          <w:lang w:eastAsia="en-AU" w:bidi="ar-SA"/>
        </w:rPr>
      </w:pPr>
    </w:p>
    <w:p w14:paraId="5A468A44" w14:textId="48B94D76" w:rsidR="008A1DB5" w:rsidRDefault="008A1DB5" w:rsidP="008A1DB5">
      <w:pPr>
        <w:rPr>
          <w:lang w:eastAsia="en-AU" w:bidi="ar-SA"/>
        </w:rPr>
      </w:pPr>
      <w:r>
        <w:rPr>
          <w:lang w:eastAsia="en-AU" w:bidi="ar-SA"/>
        </w:rPr>
        <w:t>ICR mice, 20/sex, ranging from 18 to 22 g at time of receipt, were used for this study. Mice were maintained under standard laboratory environmental conditions and acclimatized for one week. Mice were randomly assigned to two groups of 10/sex/group and fasted for 12 h prior to being gavaged with either DAGM at 20 mL/kg bw or water at 20 mL/kg bw. Mice were monitored for 14 d after dosing. All mice survived the 14 d observation period and no abnormal clinical observations were recorded.</w:t>
      </w:r>
    </w:p>
    <w:p w14:paraId="0BAFD0C4" w14:textId="45C1059A" w:rsidR="006C2AF0" w:rsidRDefault="006C2AF0" w:rsidP="0014568E">
      <w:pPr>
        <w:rPr>
          <w:lang w:eastAsia="en-AU" w:bidi="ar-SA"/>
        </w:rPr>
      </w:pPr>
    </w:p>
    <w:p w14:paraId="2E59C53A" w14:textId="07805992" w:rsidR="005F4438" w:rsidRDefault="005F4438" w:rsidP="005F4438">
      <w:pPr>
        <w:pStyle w:val="Heading4"/>
        <w:rPr>
          <w:lang w:eastAsia="en-AU"/>
        </w:rPr>
      </w:pPr>
      <w:r>
        <w:rPr>
          <w:lang w:eastAsia="en-AU"/>
        </w:rPr>
        <w:t>3.3.</w:t>
      </w:r>
      <w:r w:rsidR="00812B3E">
        <w:rPr>
          <w:lang w:eastAsia="en-AU"/>
        </w:rPr>
        <w:t>1</w:t>
      </w:r>
      <w:r>
        <w:rPr>
          <w:lang w:eastAsia="en-AU"/>
        </w:rPr>
        <w:t>.2</w:t>
      </w:r>
      <w:r>
        <w:rPr>
          <w:lang w:eastAsia="en-AU"/>
        </w:rPr>
        <w:tab/>
        <w:t>Subchronic toxicity studies</w:t>
      </w:r>
    </w:p>
    <w:p w14:paraId="61F8D8A7" w14:textId="2A89499C" w:rsidR="005F4FEF" w:rsidRDefault="005F4FEF" w:rsidP="005F4FEF">
      <w:pPr>
        <w:rPr>
          <w:lang w:eastAsia="en-AU" w:bidi="ar-SA"/>
        </w:rPr>
      </w:pPr>
      <w:r w:rsidRPr="005F4FEF">
        <w:rPr>
          <w:lang w:eastAsia="en-AU" w:bidi="ar-SA"/>
        </w:rPr>
        <w:t>No subchronic studies of monoglycerides were located.</w:t>
      </w:r>
    </w:p>
    <w:p w14:paraId="6BA90D44" w14:textId="77777777" w:rsidR="005F4FEF" w:rsidRPr="005F4FEF" w:rsidRDefault="005F4FEF" w:rsidP="005F4FEF">
      <w:pPr>
        <w:rPr>
          <w:lang w:eastAsia="en-AU" w:bidi="ar-SA"/>
        </w:rPr>
      </w:pPr>
    </w:p>
    <w:p w14:paraId="604E9710" w14:textId="77777777" w:rsidR="00EB2412" w:rsidRPr="00EB2412" w:rsidRDefault="00EB2412" w:rsidP="00EB2412">
      <w:pPr>
        <w:rPr>
          <w:i/>
          <w:lang w:eastAsia="en-AU" w:bidi="ar-SA"/>
        </w:rPr>
      </w:pPr>
      <w:r w:rsidRPr="00EB2412">
        <w:rPr>
          <w:i/>
          <w:lang w:eastAsia="en-AU" w:bidi="ar-SA"/>
        </w:rPr>
        <w:t>30-day repeat-dose study of diacylglycerol microemulsion in Sprague Dawley rats (Huang et al 2011). Regulatory status: Not GLP</w:t>
      </w:r>
    </w:p>
    <w:p w14:paraId="420631BB" w14:textId="77777777" w:rsidR="00EB2412" w:rsidRPr="00EB2412" w:rsidRDefault="00EB2412" w:rsidP="00EB2412">
      <w:pPr>
        <w:rPr>
          <w:i/>
          <w:lang w:eastAsia="en-AU" w:bidi="ar-SA"/>
        </w:rPr>
      </w:pPr>
    </w:p>
    <w:p w14:paraId="026B2B7E" w14:textId="7B99FDF8" w:rsidR="008A0087" w:rsidRDefault="008A0087" w:rsidP="00EB2412">
      <w:pPr>
        <w:rPr>
          <w:lang w:eastAsia="en-AU" w:bidi="ar-SA"/>
        </w:rPr>
      </w:pPr>
      <w:r>
        <w:rPr>
          <w:lang w:eastAsia="en-AU" w:bidi="ar-SA"/>
        </w:rPr>
        <w:t xml:space="preserve">The test article for this study was the same </w:t>
      </w:r>
      <w:r w:rsidR="009637E0">
        <w:rPr>
          <w:lang w:eastAsia="en-AU" w:bidi="ar-SA"/>
        </w:rPr>
        <w:t>DAG microemulsion (DAGM) as that used in the acute mouse study summarised in the previous subsection.</w:t>
      </w:r>
    </w:p>
    <w:p w14:paraId="5D049623" w14:textId="77777777" w:rsidR="008A0087" w:rsidRDefault="008A0087" w:rsidP="00EB2412">
      <w:pPr>
        <w:rPr>
          <w:lang w:eastAsia="en-AU" w:bidi="ar-SA"/>
        </w:rPr>
      </w:pPr>
    </w:p>
    <w:p w14:paraId="2893B751" w14:textId="060DDDDA" w:rsidR="00EB2412" w:rsidRPr="00EB2412" w:rsidRDefault="00EB2412" w:rsidP="00EB2412">
      <w:pPr>
        <w:rPr>
          <w:lang w:eastAsia="en-AU" w:bidi="ar-SA"/>
        </w:rPr>
      </w:pPr>
      <w:r w:rsidRPr="00EB2412">
        <w:rPr>
          <w:lang w:eastAsia="en-AU" w:bidi="ar-SA"/>
        </w:rPr>
        <w:t xml:space="preserve">Male and female Sprague Dawley rats ranging from 60 to 80 g bw were </w:t>
      </w:r>
      <w:r w:rsidR="00AA43EA" w:rsidRPr="00EB2412">
        <w:rPr>
          <w:lang w:eastAsia="en-AU" w:bidi="ar-SA"/>
        </w:rPr>
        <w:t>acclimati</w:t>
      </w:r>
      <w:r w:rsidR="00AA43EA">
        <w:rPr>
          <w:lang w:eastAsia="en-AU" w:bidi="ar-SA"/>
        </w:rPr>
        <w:t>s</w:t>
      </w:r>
      <w:r w:rsidR="00AA43EA" w:rsidRPr="00EB2412">
        <w:rPr>
          <w:lang w:eastAsia="en-AU" w:bidi="ar-SA"/>
        </w:rPr>
        <w:t xml:space="preserve">ed </w:t>
      </w:r>
      <w:r w:rsidRPr="00EB2412">
        <w:rPr>
          <w:lang w:eastAsia="en-AU" w:bidi="ar-SA"/>
        </w:rPr>
        <w:t xml:space="preserve">to standard laboratory environmental conditions for one week before being assigned </w:t>
      </w:r>
      <w:r w:rsidRPr="00EB2412">
        <w:rPr>
          <w:lang w:eastAsia="en-AU" w:bidi="ar-SA"/>
        </w:rPr>
        <w:lastRenderedPageBreak/>
        <w:t>to groups of 10/sex/group. The treatment groups were gavaged daily for 30 d with DAG</w:t>
      </w:r>
      <w:r w:rsidR="009D692A">
        <w:rPr>
          <w:lang w:eastAsia="en-AU" w:bidi="ar-SA"/>
        </w:rPr>
        <w:t xml:space="preserve"> </w:t>
      </w:r>
      <w:r w:rsidR="00AA43EA">
        <w:rPr>
          <w:lang w:eastAsia="en-AU" w:bidi="ar-SA"/>
        </w:rPr>
        <w:t>at</w:t>
      </w:r>
      <w:r w:rsidRPr="00EB2412">
        <w:rPr>
          <w:lang w:eastAsia="en-AU" w:bidi="ar-SA"/>
        </w:rPr>
        <w:t xml:space="preserve"> 6.7, 10 or 20 mL/kg bw. DAGM was diluted in water but it is not clear whether the control group was administered water, or gavaged. Rats were subject to daily observations. Body weights were recorded on study days 0, 7, 14, 21, and 30. Food and water consumption were recorded weekly. On Day 30, rats were weighed and then decapitated. Organ weights were recorded for liver, kidneys, brain, heart, lungs, spleen, adrenals and gonads. Histopathological examination was carried out on liver, kidney, brain and gonads. Haematology and serological assessment were also conducted, although details of the blood collection are not described. </w:t>
      </w:r>
    </w:p>
    <w:p w14:paraId="45EC76AF" w14:textId="77777777" w:rsidR="00EB2412" w:rsidRPr="00EB2412" w:rsidRDefault="00EB2412" w:rsidP="00EB2412">
      <w:pPr>
        <w:rPr>
          <w:lang w:eastAsia="en-AU" w:bidi="ar-SA"/>
        </w:rPr>
      </w:pPr>
    </w:p>
    <w:p w14:paraId="1B920396" w14:textId="12F236A0" w:rsidR="00EB2412" w:rsidRPr="00EB2412" w:rsidRDefault="00EB2412" w:rsidP="00EB2412">
      <w:pPr>
        <w:rPr>
          <w:lang w:eastAsia="en-AU" w:bidi="ar-SA"/>
        </w:rPr>
      </w:pPr>
      <w:r w:rsidRPr="00EB2412">
        <w:rPr>
          <w:lang w:eastAsia="en-AU" w:bidi="ar-SA"/>
        </w:rPr>
        <w:t xml:space="preserve">Treatment with DAGM had no significant effect on body weights in either sex, and there were no treatment-related histopathological findings. Statistically significant but biologically minimal changes in group mean values for haematology and serum chemistry parameters did not show dose-response relationships and are considered to be unrelated to treatment. There were dose-related increases in group mean values for relative liver weight in females treated with 20 mL/kg bw/day and males treated with </w:t>
      </w:r>
      <w:r w:rsidRPr="00EB2412">
        <w:rPr>
          <w:rFonts w:cs="Arial"/>
          <w:lang w:eastAsia="en-AU" w:bidi="ar-SA"/>
        </w:rPr>
        <w:t>≥</w:t>
      </w:r>
      <w:r w:rsidRPr="00EB2412">
        <w:rPr>
          <w:lang w:eastAsia="en-AU" w:bidi="ar-SA"/>
        </w:rPr>
        <w:t xml:space="preserve">10 mL/kg bw/day. The group mean value for relative kidney weight was also significantly increased in females treated with 20 mL/kg bw/day. However there were no corresponding histopathological changes or changes in clinical pathology parameters. </w:t>
      </w:r>
      <w:r w:rsidR="00601BF6">
        <w:rPr>
          <w:lang w:eastAsia="en-AU" w:bidi="ar-SA"/>
        </w:rPr>
        <w:t xml:space="preserve">No adverse effects were observed at any dose. </w:t>
      </w:r>
    </w:p>
    <w:p w14:paraId="1E87833F" w14:textId="57A3C18E" w:rsidR="00EB2412" w:rsidRDefault="00EB2412" w:rsidP="0097134D">
      <w:pPr>
        <w:rPr>
          <w:lang w:eastAsia="en-AU" w:bidi="ar-SA"/>
        </w:rPr>
      </w:pPr>
    </w:p>
    <w:p w14:paraId="2E6858C7" w14:textId="77777777" w:rsidR="0097134D" w:rsidRPr="0097134D" w:rsidRDefault="0097134D" w:rsidP="0097134D">
      <w:pPr>
        <w:rPr>
          <w:lang w:eastAsia="en-AU" w:bidi="ar-SA"/>
        </w:rPr>
      </w:pPr>
    </w:p>
    <w:p w14:paraId="2CB2FE32" w14:textId="5B3EC880" w:rsidR="0014568E" w:rsidRPr="00047E5A" w:rsidRDefault="0014568E" w:rsidP="0014568E">
      <w:pPr>
        <w:rPr>
          <w:i/>
          <w:lang w:eastAsia="en-AU" w:bidi="ar-SA"/>
        </w:rPr>
      </w:pPr>
      <w:r w:rsidRPr="00047E5A">
        <w:rPr>
          <w:i/>
          <w:lang w:eastAsia="en-AU" w:bidi="ar-SA"/>
        </w:rPr>
        <w:t>90-day dietary study of diacylglycerol oil in rats (Morita et al 2008a). Regulatory status:</w:t>
      </w:r>
      <w:r w:rsidR="000F292C">
        <w:rPr>
          <w:i/>
          <w:lang w:eastAsia="en-AU" w:bidi="ar-SA"/>
        </w:rPr>
        <w:t xml:space="preserve"> </w:t>
      </w:r>
      <w:r w:rsidRPr="00047E5A">
        <w:rPr>
          <w:i/>
          <w:lang w:eastAsia="en-AU" w:bidi="ar-SA"/>
        </w:rPr>
        <w:t xml:space="preserve">GLP; </w:t>
      </w:r>
      <w:r w:rsidR="00216690">
        <w:rPr>
          <w:i/>
          <w:lang w:eastAsia="en-AU" w:bidi="ar-SA"/>
        </w:rPr>
        <w:t>designed to be in general accordance</w:t>
      </w:r>
      <w:r w:rsidRPr="00047E5A">
        <w:rPr>
          <w:i/>
          <w:lang w:eastAsia="en-AU" w:bidi="ar-SA"/>
        </w:rPr>
        <w:t xml:space="preserve"> with OECD, ICH and US-FDA Redbook guidelines. </w:t>
      </w:r>
    </w:p>
    <w:p w14:paraId="69CE9B27" w14:textId="77777777" w:rsidR="0014568E" w:rsidRDefault="0014568E" w:rsidP="0014568E">
      <w:pPr>
        <w:rPr>
          <w:lang w:eastAsia="en-AU" w:bidi="ar-SA"/>
        </w:rPr>
      </w:pPr>
    </w:p>
    <w:p w14:paraId="362322F3" w14:textId="1FEC1FC0" w:rsidR="0014568E" w:rsidRDefault="0014568E" w:rsidP="0014568E">
      <w:pPr>
        <w:rPr>
          <w:lang w:eastAsia="en-AU" w:bidi="ar-SA"/>
        </w:rPr>
      </w:pPr>
      <w:r>
        <w:rPr>
          <w:lang w:eastAsia="en-AU" w:bidi="ar-SA"/>
        </w:rPr>
        <w:t>This study was conducted to investigate the effects of heating DAG</w:t>
      </w:r>
      <w:r w:rsidR="00AA43EA">
        <w:rPr>
          <w:lang w:eastAsia="en-AU" w:bidi="ar-SA"/>
        </w:rPr>
        <w:t>;</w:t>
      </w:r>
      <w:r>
        <w:rPr>
          <w:lang w:eastAsia="en-AU" w:bidi="ar-SA"/>
        </w:rPr>
        <w:t xml:space="preserve"> unheated DAG was used as the control substance. The basal diet was fat-free, and oils were added up to a total of 5.5% w/w. Two additional groups were fed diets containing either 5.5% unheated triacylglycerol oil or 5.5% heated triacylglycerol. Male and female Sprague Dawley rats, 40 days old at receipt, were housed individually under standard environmental and husbandry conditions, and acclimatised for 16 days prior to the start of the study. Food and water were provided </w:t>
      </w:r>
      <w:r w:rsidRPr="00886EF7">
        <w:rPr>
          <w:i/>
          <w:lang w:eastAsia="en-AU" w:bidi="ar-SA"/>
        </w:rPr>
        <w:t>ad libitum</w:t>
      </w:r>
      <w:r>
        <w:rPr>
          <w:lang w:eastAsia="en-AU" w:bidi="ar-SA"/>
        </w:rPr>
        <w:t xml:space="preserve">. Rats were randomised to the six groups, 10/sex/group. All animals were observed twice daily for mortality/moribundity, and subject to cageside observations once daily. Detailed clinical observations were made weekly, from one week prior to study start, and including the day of necropsy. Bodyweights were recorded weekly from two weeks prior to study start, and including the day of scheduled necropsy. A comprehensive functional observational battery (FOB) was conducted on all rats prior to study start and during Week 12 of study. Urine and blood was collected from all animals prior to termination for comprehensive analyses. Ophthalmic examinations were conducted on </w:t>
      </w:r>
      <w:r>
        <w:rPr>
          <w:lang w:eastAsia="en-AU" w:bidi="ar-SA"/>
        </w:rPr>
        <w:lastRenderedPageBreak/>
        <w:t xml:space="preserve">all rats prior to study start and during Week 11 of study. All animals were </w:t>
      </w:r>
      <w:r w:rsidR="00256BBB">
        <w:rPr>
          <w:lang w:eastAsia="en-AU" w:bidi="ar-SA"/>
        </w:rPr>
        <w:t xml:space="preserve">killed </w:t>
      </w:r>
      <w:r>
        <w:rPr>
          <w:lang w:eastAsia="en-AU" w:bidi="ar-SA"/>
        </w:rPr>
        <w:t xml:space="preserve">with isoflurane and subject to complete necropsy, with a comprehensive list of organs and tissues preserved for histopathological examination. Organ weights were recorded for adrenal glands, brain, epididymides, heart, kidneys, liver, lungs, ovaries, pituitary, prostate, salivary gland, seminal vesicles, spleen, testes, thymus, thyroid with parathyroids, and uterus. </w:t>
      </w:r>
    </w:p>
    <w:p w14:paraId="7D00A0CF" w14:textId="77777777" w:rsidR="0014568E" w:rsidRDefault="0014568E" w:rsidP="0014568E">
      <w:pPr>
        <w:rPr>
          <w:lang w:eastAsia="en-AU" w:bidi="ar-SA"/>
        </w:rPr>
      </w:pPr>
    </w:p>
    <w:p w14:paraId="1C2631EB" w14:textId="032F5D40" w:rsidR="0014568E" w:rsidRDefault="0014568E" w:rsidP="0014568E">
      <w:pPr>
        <w:rPr>
          <w:lang w:eastAsia="en-AU" w:bidi="ar-SA"/>
        </w:rPr>
      </w:pPr>
      <w:r>
        <w:rPr>
          <w:lang w:eastAsia="en-AU" w:bidi="ar-SA"/>
        </w:rPr>
        <w:t>All rats survived to scheduled necropsy, and there were no treatment-related clinical observations. There were no toxicologically significant effects on body weights or body weight gains, food consumption, ophthalmic findings, FOB and motor activity, clinical pathology values, organ weights, gross necropsy findings or findings on histopathological examinations. The dose, 5.5% w/w corresponded to 3178 to 4120 mg/kg</w:t>
      </w:r>
      <w:r w:rsidR="0022487D">
        <w:rPr>
          <w:lang w:eastAsia="en-AU" w:bidi="ar-SA"/>
        </w:rPr>
        <w:t xml:space="preserve"> bw</w:t>
      </w:r>
      <w:r>
        <w:rPr>
          <w:lang w:eastAsia="en-AU" w:bidi="ar-SA"/>
        </w:rPr>
        <w:t xml:space="preserve">/day. </w:t>
      </w:r>
    </w:p>
    <w:p w14:paraId="6B5C02FA" w14:textId="2E17846D" w:rsidR="00985594" w:rsidRDefault="00985594" w:rsidP="0014568E">
      <w:pPr>
        <w:rPr>
          <w:lang w:eastAsia="en-AU" w:bidi="ar-SA"/>
        </w:rPr>
      </w:pPr>
    </w:p>
    <w:p w14:paraId="5740096F" w14:textId="77777777" w:rsidR="002E015D" w:rsidRDefault="002E015D" w:rsidP="0014568E">
      <w:pPr>
        <w:rPr>
          <w:lang w:eastAsia="en-AU" w:bidi="ar-SA"/>
        </w:rPr>
      </w:pPr>
    </w:p>
    <w:p w14:paraId="52A17079" w14:textId="328553F7" w:rsidR="00F8519A" w:rsidRDefault="00F8519A" w:rsidP="00F8519A">
      <w:pPr>
        <w:rPr>
          <w:i/>
          <w:lang w:eastAsia="en-AU" w:bidi="ar-SA"/>
        </w:rPr>
      </w:pPr>
      <w:r w:rsidRPr="00380649">
        <w:rPr>
          <w:i/>
          <w:lang w:eastAsia="en-AU" w:bidi="ar-SA"/>
        </w:rPr>
        <w:t>12-month dietary study of DAG in Beagle dogs (Chengelis et al 2006</w:t>
      </w:r>
      <w:r w:rsidR="001C6242">
        <w:rPr>
          <w:i/>
          <w:lang w:eastAsia="en-AU" w:bidi="ar-SA"/>
        </w:rPr>
        <w:t>c</w:t>
      </w:r>
      <w:r w:rsidRPr="00380649">
        <w:rPr>
          <w:i/>
          <w:lang w:eastAsia="en-AU" w:bidi="ar-SA"/>
        </w:rPr>
        <w:t xml:space="preserve">). Regulatory status: GLP; study design based on US-FDA Redbook guidelines. </w:t>
      </w:r>
    </w:p>
    <w:p w14:paraId="1664AE7F" w14:textId="77777777" w:rsidR="00F8519A" w:rsidRDefault="00F8519A" w:rsidP="00F8519A">
      <w:pPr>
        <w:rPr>
          <w:i/>
          <w:lang w:eastAsia="en-AU" w:bidi="ar-SA"/>
        </w:rPr>
      </w:pPr>
    </w:p>
    <w:p w14:paraId="2F86FE20" w14:textId="142467EA" w:rsidR="00F8519A" w:rsidRDefault="00F8519A" w:rsidP="00F8519A">
      <w:pPr>
        <w:rPr>
          <w:lang w:eastAsia="en-AU" w:bidi="ar-SA"/>
        </w:rPr>
      </w:pPr>
      <w:r>
        <w:rPr>
          <w:lang w:eastAsia="en-AU" w:bidi="ar-SA"/>
        </w:rPr>
        <w:t>This study was conducted using DAG oil with a diglyceride content of &gt;82%, although it was assumed to be 100% purity for dose calculation purposes. The triacylglycerol (TAG) oil was &gt;95% pure. The first control group were fed a standard laboratory diet containing 9.5% lipid. The second control group were fed a diet containing 9.5% TAG. The treatment groups were fed diets containing 1.5, 5.5 or 9.5% DAG, with the difference made up with TAG so that all dogs received 9.5% dietary lipid</w:t>
      </w:r>
      <w:r w:rsidR="00514618">
        <w:rPr>
          <w:lang w:eastAsia="en-AU" w:bidi="ar-SA"/>
        </w:rPr>
        <w:t>, although it is not clear whether the energy content was the same across groups</w:t>
      </w:r>
      <w:r>
        <w:rPr>
          <w:lang w:eastAsia="en-AU" w:bidi="ar-SA"/>
        </w:rPr>
        <w:t>. Dose concentration, homogeneity and stability were confirmed by analysis.</w:t>
      </w:r>
    </w:p>
    <w:p w14:paraId="68CFF01B" w14:textId="77777777" w:rsidR="00F8519A" w:rsidRDefault="00F8519A" w:rsidP="00F8519A">
      <w:pPr>
        <w:rPr>
          <w:lang w:eastAsia="en-AU" w:bidi="ar-SA"/>
        </w:rPr>
      </w:pPr>
    </w:p>
    <w:p w14:paraId="0C3B3DE3" w14:textId="45E0F03A" w:rsidR="00F8519A" w:rsidRDefault="00F8519A" w:rsidP="00F8519A">
      <w:pPr>
        <w:rPr>
          <w:lang w:eastAsia="en-AU" w:bidi="ar-SA"/>
        </w:rPr>
      </w:pPr>
      <w:r>
        <w:rPr>
          <w:lang w:eastAsia="en-AU" w:bidi="ar-SA"/>
        </w:rPr>
        <w:t xml:space="preserve">Dogs were 7 to 8 weeks old at receipt and were acclimatised to standard laboratory housing conditions for 14 days prior to assignment to groups, 4/sex/group. Dogs were pair-housed for the first four weeks of the study, and individually housed, with daily periods of co-housing for social interaction, for the rest of the study. Water was provided </w:t>
      </w:r>
      <w:r w:rsidRPr="00427ED9">
        <w:rPr>
          <w:i/>
          <w:lang w:eastAsia="en-AU" w:bidi="ar-SA"/>
        </w:rPr>
        <w:t>ad libitum</w:t>
      </w:r>
      <w:r>
        <w:rPr>
          <w:i/>
          <w:lang w:eastAsia="en-AU" w:bidi="ar-SA"/>
        </w:rPr>
        <w:t xml:space="preserve">. </w:t>
      </w:r>
      <w:r w:rsidRPr="00427ED9">
        <w:rPr>
          <w:lang w:eastAsia="en-AU" w:bidi="ar-SA"/>
        </w:rPr>
        <w:t>F</w:t>
      </w:r>
      <w:r>
        <w:rPr>
          <w:lang w:eastAsia="en-AU" w:bidi="ar-SA"/>
        </w:rPr>
        <w:t xml:space="preserve">ood was offered </w:t>
      </w:r>
      <w:r w:rsidRPr="00427ED9">
        <w:rPr>
          <w:i/>
          <w:lang w:eastAsia="en-AU" w:bidi="ar-SA"/>
        </w:rPr>
        <w:t>ad libitum</w:t>
      </w:r>
      <w:r>
        <w:rPr>
          <w:lang w:eastAsia="en-AU" w:bidi="ar-SA"/>
        </w:rPr>
        <w:t xml:space="preserve"> for the first three weeks of the study, and then for progressively shorter times until Week 7, when access to food was reduced to 1-2 h, which was maintained to the end of the study. All dogs were checked for mortality/moribundity twice daily, and observed prior to feeding and 1 to 2 h after feeding from Week 7. Detailed physical examinations were conducted weekly from prior to study start. Body weights were recorded twice weekly from Week -2 to Week 2, and weekly thereafter. Food consumption was recorded from the separation of dogs into individual cages. Blood for clinical pathology evaluation was collected prestudy, during Weeks 13, 26 and 39, and prior to scheduled necropsies. Ocular examinations were conducted prestudy, in Weeks 12, 25 and 38, and in </w:t>
      </w:r>
      <w:r>
        <w:rPr>
          <w:lang w:eastAsia="en-AU" w:bidi="ar-SA"/>
        </w:rPr>
        <w:lastRenderedPageBreak/>
        <w:t xml:space="preserve">Week 51. Electrocardiographs(ECGs) were recorded prestudy, in Week 25 and in Week 51. Following study start, ECGs were recorded 1-3 h after dosing. All dogs were subject to complete necropsies with collection of a comprehensive list of tissues and organs for histopathology. Fresh weights were recorded for adrenals, brain, epididymides, kidneys, liver, ovaries, testes and thyroids (with parathyroids), as sex-appropriate. </w:t>
      </w:r>
    </w:p>
    <w:p w14:paraId="57C1ED87" w14:textId="77777777" w:rsidR="00F8519A" w:rsidRDefault="00F8519A" w:rsidP="00F8519A">
      <w:pPr>
        <w:rPr>
          <w:lang w:eastAsia="en-AU" w:bidi="ar-SA"/>
        </w:rPr>
      </w:pPr>
    </w:p>
    <w:p w14:paraId="45C2397F" w14:textId="06D46C28" w:rsidR="00F8519A" w:rsidRPr="00380649" w:rsidRDefault="00F8519A" w:rsidP="00F8519A">
      <w:pPr>
        <w:rPr>
          <w:lang w:eastAsia="en-AU" w:bidi="ar-SA"/>
        </w:rPr>
      </w:pPr>
      <w:r>
        <w:rPr>
          <w:lang w:eastAsia="en-AU" w:bidi="ar-SA"/>
        </w:rPr>
        <w:t>All dogs survived to scheduled necropsies, and no test article-related clinical signs were observed. Body weights and body weight gains were similar between DAG-treated dogs and both control groups throughout the study. Food consumption values for the TAG control group and the DAG-treated dogs were frequently lower than those for the control group fed the standard diet, possibly reflecting a difference in palatability. Treatment with DAG had no adverse effects on group mean values for haematology or clinical chemistry parameters when compared to the TAG control group. However both TAG and DAG groups exhibited higher group mean values for serum levels of alkaline phosphatase activity, cholesterol and triglycerides when compared to dogs in the standard diet control group</w:t>
      </w:r>
      <w:r w:rsidR="00EF1E90">
        <w:rPr>
          <w:lang w:eastAsia="en-AU" w:bidi="ar-SA"/>
        </w:rPr>
        <w:t>, but not when compared to each other</w:t>
      </w:r>
      <w:r>
        <w:rPr>
          <w:lang w:eastAsia="en-AU" w:bidi="ar-SA"/>
        </w:rPr>
        <w:t xml:space="preserve">. </w:t>
      </w:r>
      <w:r w:rsidR="008B4733">
        <w:rPr>
          <w:lang w:eastAsia="en-AU" w:bidi="ar-SA"/>
        </w:rPr>
        <w:t>In the absence of any corresponding microscopic changes or a dose-response relationship, the</w:t>
      </w:r>
      <w:r w:rsidR="00EF1E90">
        <w:rPr>
          <w:lang w:eastAsia="en-AU" w:bidi="ar-SA"/>
        </w:rPr>
        <w:t>se</w:t>
      </w:r>
      <w:r w:rsidR="008B4733">
        <w:rPr>
          <w:lang w:eastAsia="en-AU" w:bidi="ar-SA"/>
        </w:rPr>
        <w:t xml:space="preserve"> differences in group mean values for alkaline phosphatase, cholesterol and triglycerides were not considered to be toxicologically significant, and were attributed to the different diets</w:t>
      </w:r>
      <w:r w:rsidR="00EF1E90">
        <w:rPr>
          <w:lang w:eastAsia="en-AU" w:bidi="ar-SA"/>
        </w:rPr>
        <w:t>.</w:t>
      </w:r>
      <w:r>
        <w:rPr>
          <w:lang w:eastAsia="en-AU" w:bidi="ar-SA"/>
        </w:rPr>
        <w:t xml:space="preserve"> No treatment-related effects on ophthalmological findings, ECGs, gross necropsy findings, organ weights, organ weight ratios or microscopic findings were found. It was concluded that the chronic dietary NOEL was 9.5% w/w DAG in the diet.</w:t>
      </w:r>
    </w:p>
    <w:p w14:paraId="3F2EBE25" w14:textId="77777777" w:rsidR="00F8519A" w:rsidRDefault="00F8519A" w:rsidP="0014568E">
      <w:pPr>
        <w:rPr>
          <w:lang w:eastAsia="en-AU" w:bidi="ar-SA"/>
        </w:rPr>
      </w:pPr>
    </w:p>
    <w:p w14:paraId="4E24CB05" w14:textId="7CCE9FC2" w:rsidR="006B0880" w:rsidRDefault="006B0880" w:rsidP="006B0880">
      <w:pPr>
        <w:pStyle w:val="Heading4"/>
      </w:pPr>
      <w:r>
        <w:t>3.3.1.3</w:t>
      </w:r>
      <w:r>
        <w:tab/>
        <w:t>Chronic and carcinogenicity studies</w:t>
      </w:r>
    </w:p>
    <w:p w14:paraId="1DD3CA84" w14:textId="5ECB84FA" w:rsidR="005F4FEF" w:rsidRDefault="005F4FEF" w:rsidP="005F4FEF">
      <w:pPr>
        <w:rPr>
          <w:lang w:bidi="ar-SA"/>
        </w:rPr>
      </w:pPr>
      <w:r>
        <w:rPr>
          <w:lang w:bidi="ar-SA"/>
        </w:rPr>
        <w:t>No carcinogenicity studies of monoglycerides were submitted or located by literature search.</w:t>
      </w:r>
    </w:p>
    <w:p w14:paraId="0426EFA8" w14:textId="77777777" w:rsidR="005F4FEF" w:rsidRPr="005F4FEF" w:rsidRDefault="005F4FEF" w:rsidP="005F4FEF">
      <w:pPr>
        <w:rPr>
          <w:lang w:bidi="ar-SA"/>
        </w:rPr>
      </w:pPr>
    </w:p>
    <w:p w14:paraId="748D5342" w14:textId="77777777" w:rsidR="006B0880" w:rsidRDefault="006B0880" w:rsidP="006B0880">
      <w:pPr>
        <w:rPr>
          <w:i/>
          <w:lang w:eastAsia="en-AU" w:bidi="ar-SA"/>
        </w:rPr>
      </w:pPr>
      <w:r w:rsidRPr="003D18FC">
        <w:rPr>
          <w:i/>
          <w:lang w:eastAsia="en-AU" w:bidi="ar-SA"/>
        </w:rPr>
        <w:t>24-month dietary carcinogenicity study of diacylglycerol oil in mice (Chengelis et al 2006a). Regulatory status: GLP; study design based on US-FDA Redbook guidelines.</w:t>
      </w:r>
    </w:p>
    <w:p w14:paraId="6CC00003" w14:textId="77777777" w:rsidR="006B0880" w:rsidRDefault="006B0880" w:rsidP="006B0880">
      <w:pPr>
        <w:rPr>
          <w:i/>
          <w:lang w:eastAsia="en-AU" w:bidi="ar-SA"/>
        </w:rPr>
      </w:pPr>
    </w:p>
    <w:p w14:paraId="1CCD68CE" w14:textId="11BCBAD4" w:rsidR="006B0880" w:rsidRDefault="006B0880" w:rsidP="006B0880">
      <w:pPr>
        <w:rPr>
          <w:lang w:eastAsia="en-AU" w:bidi="ar-SA"/>
        </w:rPr>
      </w:pPr>
      <w:r>
        <w:rPr>
          <w:lang w:eastAsia="en-AU" w:bidi="ar-SA"/>
        </w:rPr>
        <w:t xml:space="preserve">Diacylglycerol oil for this study was &gt;82% pure, with most of the balance made up of triglycerides, but for dose calculation purposes, was assumed to be 100% DAG. The study included two control groups. One control group was fed a standard rodent diet containing 4.5% dietary fat. The second control group was given a triglyceride oil with the same fatty acid content as the test article. The triglyceride oil was administered in the diet as 6% w/w, while the DAG was administered as 1.5, 3.0 or 6.0% w/w, with the balance made up to 6% using the triglyceride oil. </w:t>
      </w:r>
      <w:r w:rsidR="00EA6FF8">
        <w:rPr>
          <w:lang w:eastAsia="en-AU" w:bidi="ar-SA"/>
        </w:rPr>
        <w:t xml:space="preserve">It is not clear whether </w:t>
      </w:r>
      <w:r w:rsidR="00EA6FF8">
        <w:rPr>
          <w:lang w:eastAsia="en-AU" w:bidi="ar-SA"/>
        </w:rPr>
        <w:lastRenderedPageBreak/>
        <w:t xml:space="preserve">the doses were of equivalent energy content. </w:t>
      </w:r>
      <w:r w:rsidRPr="00530520">
        <w:rPr>
          <w:lang w:eastAsia="en-AU" w:bidi="ar-SA"/>
        </w:rPr>
        <w:t xml:space="preserve">Dose concentration, homogeneity and stability </w:t>
      </w:r>
      <w:r>
        <w:rPr>
          <w:lang w:eastAsia="en-AU" w:bidi="ar-SA"/>
        </w:rPr>
        <w:t xml:space="preserve">of the lipids in the diets </w:t>
      </w:r>
      <w:r w:rsidRPr="00530520">
        <w:rPr>
          <w:lang w:eastAsia="en-AU" w:bidi="ar-SA"/>
        </w:rPr>
        <w:t>were confirmed by analysis.</w:t>
      </w:r>
    </w:p>
    <w:p w14:paraId="0F3A681A" w14:textId="77777777" w:rsidR="006B0880" w:rsidRDefault="006B0880" w:rsidP="006B0880">
      <w:pPr>
        <w:rPr>
          <w:lang w:eastAsia="en-AU" w:bidi="ar-SA"/>
        </w:rPr>
      </w:pPr>
    </w:p>
    <w:p w14:paraId="4EB868F0" w14:textId="77777777" w:rsidR="006B0880" w:rsidRDefault="006B0880" w:rsidP="006B0880">
      <w:pPr>
        <w:rPr>
          <w:lang w:eastAsia="en-AU" w:bidi="ar-SA"/>
        </w:rPr>
      </w:pPr>
      <w:r>
        <w:rPr>
          <w:lang w:eastAsia="en-AU" w:bidi="ar-SA"/>
        </w:rPr>
        <w:t>Mice of Crl:CD</w:t>
      </w:r>
      <w:r>
        <w:rPr>
          <w:rFonts w:cs="Arial"/>
          <w:lang w:eastAsia="en-AU" w:bidi="ar-SA"/>
        </w:rPr>
        <w:t>®</w:t>
      </w:r>
      <w:r>
        <w:rPr>
          <w:lang w:eastAsia="en-AU" w:bidi="ar-SA"/>
        </w:rPr>
        <w:t xml:space="preserve">-1(ICR)BR strain were 34 days old on receipt. They were acclimatised to standard laboratory environmental conditions for 15 days prior to study start. Prestudy assessments included body weights, physical examinations, ophthalmic examinations and physical examinations. Mice were housed individually during the study, and water was provided </w:t>
      </w:r>
      <w:r w:rsidRPr="00B00653">
        <w:rPr>
          <w:i/>
          <w:lang w:eastAsia="en-AU" w:bidi="ar-SA"/>
        </w:rPr>
        <w:t>ad libitum</w:t>
      </w:r>
      <w:r>
        <w:rPr>
          <w:lang w:eastAsia="en-AU" w:bidi="ar-SA"/>
        </w:rPr>
        <w:t>. Mice were randomised to groups of 50/sex/group. All mice were subject to twice-daily mortality/moribundity checks and daily cageside observations. Detailed clinical observations were conducted weekly from one week prior to study start. Body weights and food consumption were recorded weekly from prior to study start through to Week 13, and recorded every two weeks thereafter. Haematological assessment was conducted on blood from 10 mice/sex/group in Week 51 and prior to necropsy. All mice were subject to complete necropsy and a comprehensive list of organs and tissues were preserved for histopathology. Organ weights were recorded for adrenals, brain, epididymides, heart, kidneys, liver, ovaries, spleen, testes, thyroids and uterus, as sex-appropriate.</w:t>
      </w:r>
    </w:p>
    <w:p w14:paraId="139EA192" w14:textId="77777777" w:rsidR="006B0880" w:rsidRDefault="006B0880" w:rsidP="006B0880">
      <w:pPr>
        <w:rPr>
          <w:i/>
          <w:lang w:eastAsia="en-AU" w:bidi="ar-SA"/>
        </w:rPr>
      </w:pPr>
    </w:p>
    <w:p w14:paraId="47A92479" w14:textId="77777777" w:rsidR="006B0880" w:rsidRDefault="006B0880" w:rsidP="006B0880">
      <w:pPr>
        <w:rPr>
          <w:lang w:eastAsia="en-AU" w:bidi="ar-SA"/>
        </w:rPr>
      </w:pPr>
      <w:r>
        <w:rPr>
          <w:lang w:eastAsia="en-AU" w:bidi="ar-SA"/>
        </w:rPr>
        <w:t xml:space="preserve">When compared to the second control group, which received 6% triglyceride in the diet, mice fed DAG showed no treatment-related effects on survival, clinical observations, ophthalmic findings, body weights, organ weights, group mean haematology values, gross and microscopic lesions, latency of neoplasms or incidence of neoplasms. When compared to the first control group, which was fed a standard diet containing 4.5% lipid, both the second control group and the DAG-treated groups exhibited lower survival, higher body weights, lower food consumption and greater frequency of gross and microscopic lesions. These differences were attributed to the greater fat consumption. It was concluded that the effects of DAG consumption at up to 6% were no different to those of triglycerides alone, and the NOEL for DAG in the diet was 6%, approximately equivalent to 7.4 g/kg bw/day in males and 9.8 g/kg bw/day in females. </w:t>
      </w:r>
    </w:p>
    <w:p w14:paraId="3EE905E8" w14:textId="77777777" w:rsidR="006B0880" w:rsidRDefault="006B0880" w:rsidP="006B0880">
      <w:pPr>
        <w:rPr>
          <w:i/>
          <w:lang w:eastAsia="en-AU" w:bidi="ar-SA"/>
        </w:rPr>
      </w:pPr>
    </w:p>
    <w:p w14:paraId="0C9467DB" w14:textId="77777777" w:rsidR="006B0880" w:rsidRDefault="006B0880" w:rsidP="006B0880">
      <w:pPr>
        <w:rPr>
          <w:i/>
          <w:lang w:eastAsia="en-AU" w:bidi="ar-SA"/>
        </w:rPr>
      </w:pPr>
    </w:p>
    <w:p w14:paraId="3460F67B" w14:textId="77777777" w:rsidR="006B0880" w:rsidRPr="00D82EBC" w:rsidRDefault="006B0880" w:rsidP="006B0880">
      <w:pPr>
        <w:rPr>
          <w:i/>
          <w:lang w:eastAsia="en-AU" w:bidi="ar-SA"/>
        </w:rPr>
      </w:pPr>
      <w:r w:rsidRPr="00D82EBC">
        <w:rPr>
          <w:i/>
          <w:lang w:eastAsia="en-AU" w:bidi="ar-SA"/>
        </w:rPr>
        <w:t>24-month dietary carcinogenicity study of diacylglycerol oil in rats (Chengelis et al 2006b). Regulatory status: GLP; study design based on US-FDA Redbook guidelines.</w:t>
      </w:r>
    </w:p>
    <w:p w14:paraId="06DC8FD3" w14:textId="77777777" w:rsidR="006B0880" w:rsidRPr="00D82EBC" w:rsidRDefault="006B0880" w:rsidP="006B0880">
      <w:pPr>
        <w:rPr>
          <w:i/>
          <w:lang w:eastAsia="en-AU" w:bidi="ar-SA"/>
        </w:rPr>
      </w:pPr>
    </w:p>
    <w:p w14:paraId="56863B89" w14:textId="39C7C066" w:rsidR="006B0880" w:rsidRDefault="006B0880" w:rsidP="006B0880">
      <w:pPr>
        <w:rPr>
          <w:lang w:eastAsia="en-AU" w:bidi="ar-SA"/>
        </w:rPr>
      </w:pPr>
      <w:r w:rsidRPr="00D82EBC">
        <w:rPr>
          <w:lang w:eastAsia="en-AU" w:bidi="ar-SA"/>
        </w:rPr>
        <w:t xml:space="preserve">The diacylglycerol oil for this study was the same as that for the </w:t>
      </w:r>
      <w:r w:rsidR="00EF1E90">
        <w:rPr>
          <w:lang w:eastAsia="en-AU" w:bidi="ar-SA"/>
        </w:rPr>
        <w:t xml:space="preserve">acute </w:t>
      </w:r>
      <w:r w:rsidRPr="00D82EBC">
        <w:rPr>
          <w:lang w:eastAsia="en-AU" w:bidi="ar-SA"/>
        </w:rPr>
        <w:t>study</w:t>
      </w:r>
      <w:r w:rsidR="00EF1E90">
        <w:rPr>
          <w:lang w:eastAsia="en-AU" w:bidi="ar-SA"/>
        </w:rPr>
        <w:t xml:space="preserve"> in mice</w:t>
      </w:r>
      <w:r w:rsidRPr="00D82EBC">
        <w:rPr>
          <w:lang w:eastAsia="en-AU" w:bidi="ar-SA"/>
        </w:rPr>
        <w:t xml:space="preserve"> described </w:t>
      </w:r>
      <w:r w:rsidR="00EF1E90">
        <w:rPr>
          <w:lang w:eastAsia="en-AU" w:bidi="ar-SA"/>
        </w:rPr>
        <w:t>previously</w:t>
      </w:r>
      <w:r w:rsidRPr="00D82EBC">
        <w:rPr>
          <w:lang w:eastAsia="en-AU" w:bidi="ar-SA"/>
        </w:rPr>
        <w:t xml:space="preserve">, and for dose calculation purposes, was likewise assumed to be 100% DAG. In the main study, food intake was restricted for two control groups and three treatment groups. The first control group in the main study was fed a standard rodent chow containing 4.5% dietary fat, whereas the second control group </w:t>
      </w:r>
      <w:r w:rsidRPr="00D82EBC">
        <w:rPr>
          <w:lang w:eastAsia="en-AU" w:bidi="ar-SA"/>
        </w:rPr>
        <w:lastRenderedPageBreak/>
        <w:t xml:space="preserve">was given a triglyceride oil in the diet at 5.5% w/w. DAG was administered to the treatment groups as 1, 2.75 or 5.5% w/w, with the balance made up to 5.5% using the triglyceride oil. A further two groups were in the satellite study in which food intake was </w:t>
      </w:r>
      <w:r w:rsidRPr="00D82EBC">
        <w:rPr>
          <w:i/>
          <w:lang w:eastAsia="en-AU" w:bidi="ar-SA"/>
        </w:rPr>
        <w:t>ad libitum</w:t>
      </w:r>
      <w:r w:rsidRPr="00D82EBC">
        <w:rPr>
          <w:lang w:eastAsia="en-AU" w:bidi="ar-SA"/>
        </w:rPr>
        <w:t xml:space="preserve">. These groups were another control group fed diet containing 5.5% triglyceride oil, and a group fed DAG at 5.5%. </w:t>
      </w:r>
      <w:r w:rsidR="00752325">
        <w:rPr>
          <w:lang w:eastAsia="en-AU" w:bidi="ar-SA"/>
        </w:rPr>
        <w:t xml:space="preserve">Groups and treatments are shown in </w:t>
      </w:r>
      <w:r w:rsidR="003233A6" w:rsidRPr="00E164D3">
        <w:rPr>
          <w:lang w:eastAsia="en-AU" w:bidi="ar-SA"/>
        </w:rPr>
        <w:fldChar w:fldCharType="begin"/>
      </w:r>
      <w:r w:rsidR="003233A6" w:rsidRPr="003233A6">
        <w:rPr>
          <w:lang w:eastAsia="en-AU" w:bidi="ar-SA"/>
        </w:rPr>
        <w:instrText xml:space="preserve"> REF _Ref48291543 \h </w:instrText>
      </w:r>
      <w:r w:rsidR="003233A6">
        <w:rPr>
          <w:lang w:eastAsia="en-AU" w:bidi="ar-SA"/>
        </w:rPr>
        <w:instrText xml:space="preserve"> \* MERGEFORMAT </w:instrText>
      </w:r>
      <w:r w:rsidR="003233A6" w:rsidRPr="00E164D3">
        <w:rPr>
          <w:lang w:eastAsia="en-AU" w:bidi="ar-SA"/>
        </w:rPr>
      </w:r>
      <w:r w:rsidR="003233A6" w:rsidRPr="00E164D3">
        <w:rPr>
          <w:lang w:eastAsia="en-AU" w:bidi="ar-SA"/>
        </w:rPr>
        <w:fldChar w:fldCharType="separate"/>
      </w:r>
      <w:r w:rsidR="00515ADA" w:rsidRPr="00515ADA">
        <w:rPr>
          <w:szCs w:val="22"/>
        </w:rPr>
        <w:t xml:space="preserve">Table </w:t>
      </w:r>
      <w:r w:rsidR="00515ADA" w:rsidRPr="00515ADA">
        <w:rPr>
          <w:noProof/>
          <w:szCs w:val="22"/>
        </w:rPr>
        <w:t>4</w:t>
      </w:r>
      <w:r w:rsidR="003233A6" w:rsidRPr="00E164D3">
        <w:rPr>
          <w:lang w:eastAsia="en-AU" w:bidi="ar-SA"/>
        </w:rPr>
        <w:fldChar w:fldCharType="end"/>
      </w:r>
      <w:r w:rsidR="00752325">
        <w:rPr>
          <w:lang w:eastAsia="en-AU" w:bidi="ar-SA"/>
        </w:rPr>
        <w:t xml:space="preserve">. </w:t>
      </w:r>
      <w:r w:rsidRPr="00530520">
        <w:rPr>
          <w:lang w:eastAsia="en-AU" w:bidi="ar-SA"/>
        </w:rPr>
        <w:t>Dose concentration, homogeneity and stability of the lipids in the diet</w:t>
      </w:r>
      <w:r>
        <w:rPr>
          <w:lang w:eastAsia="en-AU" w:bidi="ar-SA"/>
        </w:rPr>
        <w:t>s</w:t>
      </w:r>
      <w:r w:rsidRPr="00530520">
        <w:rPr>
          <w:lang w:eastAsia="en-AU" w:bidi="ar-SA"/>
        </w:rPr>
        <w:t xml:space="preserve"> were confirmed by analysis.</w:t>
      </w:r>
    </w:p>
    <w:p w14:paraId="690A5B1E" w14:textId="73193733" w:rsidR="003233A6" w:rsidRDefault="003233A6" w:rsidP="006B0880">
      <w:pPr>
        <w:rPr>
          <w:lang w:eastAsia="en-AU" w:bidi="ar-SA"/>
        </w:rPr>
      </w:pPr>
    </w:p>
    <w:p w14:paraId="29678E0C" w14:textId="77777777" w:rsidR="003233A6" w:rsidRDefault="003233A6" w:rsidP="006B0880">
      <w:pPr>
        <w:rPr>
          <w:lang w:eastAsia="en-AU" w:bidi="ar-SA"/>
        </w:rPr>
      </w:pPr>
    </w:p>
    <w:p w14:paraId="7DD86014" w14:textId="78A01011" w:rsidR="00EF1E90" w:rsidRPr="00484496" w:rsidRDefault="003233A6" w:rsidP="00E164D3">
      <w:pPr>
        <w:pStyle w:val="Caption"/>
        <w:keepNext/>
        <w:rPr>
          <w:szCs w:val="22"/>
          <w:lang w:eastAsia="en-AU"/>
        </w:rPr>
      </w:pPr>
      <w:bookmarkStart w:id="66" w:name="_Ref48291543"/>
      <w:r w:rsidRPr="00E164D3">
        <w:rPr>
          <w:b/>
          <w:color w:val="auto"/>
          <w:sz w:val="22"/>
          <w:szCs w:val="22"/>
        </w:rPr>
        <w:t xml:space="preserve">Table </w:t>
      </w:r>
      <w:r w:rsidRPr="00E164D3">
        <w:rPr>
          <w:b/>
          <w:color w:val="auto"/>
          <w:sz w:val="22"/>
          <w:szCs w:val="22"/>
        </w:rPr>
        <w:fldChar w:fldCharType="begin"/>
      </w:r>
      <w:r w:rsidRPr="00E164D3">
        <w:rPr>
          <w:b/>
          <w:color w:val="auto"/>
          <w:sz w:val="22"/>
          <w:szCs w:val="22"/>
        </w:rPr>
        <w:instrText xml:space="preserve"> SEQ Table \* ARABIC </w:instrText>
      </w:r>
      <w:r w:rsidRPr="00E164D3">
        <w:rPr>
          <w:b/>
          <w:color w:val="auto"/>
          <w:sz w:val="22"/>
          <w:szCs w:val="22"/>
        </w:rPr>
        <w:fldChar w:fldCharType="separate"/>
      </w:r>
      <w:r w:rsidR="00515ADA">
        <w:rPr>
          <w:b/>
          <w:noProof/>
          <w:color w:val="auto"/>
          <w:sz w:val="22"/>
          <w:szCs w:val="22"/>
        </w:rPr>
        <w:t>4</w:t>
      </w:r>
      <w:r w:rsidRPr="00E164D3">
        <w:rPr>
          <w:b/>
          <w:color w:val="auto"/>
          <w:sz w:val="22"/>
          <w:szCs w:val="22"/>
        </w:rPr>
        <w:fldChar w:fldCharType="end"/>
      </w:r>
      <w:bookmarkEnd w:id="66"/>
      <w:r>
        <w:rPr>
          <w:i w:val="0"/>
          <w:color w:val="auto"/>
          <w:sz w:val="22"/>
          <w:szCs w:val="22"/>
          <w:lang w:eastAsia="en-AU"/>
        </w:rPr>
        <w:tab/>
      </w:r>
      <w:r w:rsidRPr="00E164D3">
        <w:rPr>
          <w:i w:val="0"/>
          <w:color w:val="auto"/>
          <w:sz w:val="22"/>
          <w:szCs w:val="22"/>
          <w:lang w:eastAsia="en-AU"/>
        </w:rPr>
        <w:t>Study groups (50/sex/group) and treatments</w:t>
      </w:r>
    </w:p>
    <w:tbl>
      <w:tblPr>
        <w:tblStyle w:val="TableGrid"/>
        <w:tblW w:w="0" w:type="auto"/>
        <w:tblLook w:val="04A0" w:firstRow="1" w:lastRow="0" w:firstColumn="1" w:lastColumn="0" w:noHBand="0" w:noVBand="1"/>
      </w:tblPr>
      <w:tblGrid>
        <w:gridCol w:w="1812"/>
        <w:gridCol w:w="1812"/>
        <w:gridCol w:w="1812"/>
        <w:gridCol w:w="1812"/>
        <w:gridCol w:w="1812"/>
      </w:tblGrid>
      <w:tr w:rsidR="00752325" w14:paraId="7347483D" w14:textId="77777777" w:rsidTr="006A24DE">
        <w:tc>
          <w:tcPr>
            <w:tcW w:w="1812" w:type="dxa"/>
          </w:tcPr>
          <w:p w14:paraId="6752A50F" w14:textId="7B75DD78" w:rsidR="00752325" w:rsidRPr="00AD304C" w:rsidRDefault="00752325" w:rsidP="006B0880">
            <w:pPr>
              <w:rPr>
                <w:i/>
                <w:lang w:eastAsia="en-AU" w:bidi="ar-SA"/>
              </w:rPr>
            </w:pPr>
            <w:r w:rsidRPr="00AD304C">
              <w:rPr>
                <w:i/>
                <w:lang w:eastAsia="en-AU" w:bidi="ar-SA"/>
              </w:rPr>
              <w:t>Group</w:t>
            </w:r>
          </w:p>
        </w:tc>
        <w:tc>
          <w:tcPr>
            <w:tcW w:w="1812" w:type="dxa"/>
          </w:tcPr>
          <w:p w14:paraId="68932FAD" w14:textId="427A1DDA" w:rsidR="00752325" w:rsidRPr="00AD304C" w:rsidRDefault="00752325" w:rsidP="006B0880">
            <w:pPr>
              <w:rPr>
                <w:i/>
                <w:lang w:eastAsia="en-AU" w:bidi="ar-SA"/>
              </w:rPr>
            </w:pPr>
            <w:r w:rsidRPr="00AD304C">
              <w:rPr>
                <w:i/>
                <w:lang w:eastAsia="en-AU" w:bidi="ar-SA"/>
              </w:rPr>
              <w:t>Treatment</w:t>
            </w:r>
          </w:p>
        </w:tc>
        <w:tc>
          <w:tcPr>
            <w:tcW w:w="5436" w:type="dxa"/>
            <w:gridSpan w:val="3"/>
          </w:tcPr>
          <w:p w14:paraId="21D4943A" w14:textId="48412995" w:rsidR="00752325" w:rsidRPr="00AD304C" w:rsidRDefault="00752325" w:rsidP="006B0880">
            <w:pPr>
              <w:rPr>
                <w:i/>
                <w:lang w:eastAsia="en-AU" w:bidi="ar-SA"/>
              </w:rPr>
            </w:pPr>
            <w:r w:rsidRPr="00AD304C">
              <w:rPr>
                <w:i/>
                <w:lang w:eastAsia="en-AU" w:bidi="ar-SA"/>
              </w:rPr>
              <w:t>Dietary fat/oil treatment</w:t>
            </w:r>
          </w:p>
        </w:tc>
      </w:tr>
      <w:tr w:rsidR="00AD304C" w14:paraId="455E169F" w14:textId="77777777" w:rsidTr="009157EC">
        <w:tc>
          <w:tcPr>
            <w:tcW w:w="3624" w:type="dxa"/>
            <w:gridSpan w:val="2"/>
            <w:tcBorders>
              <w:bottom w:val="single" w:sz="4" w:space="0" w:color="000000"/>
            </w:tcBorders>
          </w:tcPr>
          <w:p w14:paraId="146FB6A0" w14:textId="07BB3CF5" w:rsidR="00AD304C" w:rsidRDefault="00AD304C" w:rsidP="009157EC">
            <w:pPr>
              <w:rPr>
                <w:lang w:eastAsia="en-AU" w:bidi="ar-SA"/>
              </w:rPr>
            </w:pPr>
            <w:r w:rsidRPr="00AD304C">
              <w:rPr>
                <w:i/>
                <w:lang w:eastAsia="en-AU" w:bidi="ar-SA"/>
              </w:rPr>
              <w:t xml:space="preserve">Main (restricted intake) </w:t>
            </w:r>
            <w:r w:rsidR="009157EC">
              <w:rPr>
                <w:i/>
                <w:lang w:eastAsia="en-AU" w:bidi="ar-SA"/>
              </w:rPr>
              <w:t>groups</w:t>
            </w:r>
          </w:p>
        </w:tc>
        <w:tc>
          <w:tcPr>
            <w:tcW w:w="1812" w:type="dxa"/>
            <w:tcBorders>
              <w:bottom w:val="single" w:sz="4" w:space="0" w:color="000000"/>
            </w:tcBorders>
          </w:tcPr>
          <w:p w14:paraId="1CBDCBFA" w14:textId="582F0075" w:rsidR="00AD304C" w:rsidRPr="00AD304C" w:rsidRDefault="00AD304C" w:rsidP="00AD304C">
            <w:pPr>
              <w:jc w:val="center"/>
              <w:rPr>
                <w:i/>
                <w:lang w:eastAsia="en-AU" w:bidi="ar-SA"/>
              </w:rPr>
            </w:pPr>
            <w:r w:rsidRPr="00AD304C">
              <w:rPr>
                <w:i/>
                <w:lang w:eastAsia="en-AU" w:bidi="ar-SA"/>
              </w:rPr>
              <w:t>Standard</w:t>
            </w:r>
          </w:p>
        </w:tc>
        <w:tc>
          <w:tcPr>
            <w:tcW w:w="1812" w:type="dxa"/>
            <w:tcBorders>
              <w:bottom w:val="single" w:sz="4" w:space="0" w:color="000000"/>
            </w:tcBorders>
          </w:tcPr>
          <w:p w14:paraId="384703F9" w14:textId="1A20E979" w:rsidR="00AD304C" w:rsidRPr="00AD304C" w:rsidRDefault="00AD304C" w:rsidP="00AD304C">
            <w:pPr>
              <w:jc w:val="center"/>
              <w:rPr>
                <w:i/>
                <w:lang w:eastAsia="en-AU" w:bidi="ar-SA"/>
              </w:rPr>
            </w:pPr>
            <w:r w:rsidRPr="00AD304C">
              <w:rPr>
                <w:i/>
                <w:lang w:eastAsia="en-AU" w:bidi="ar-SA"/>
              </w:rPr>
              <w:t>TG (%)</w:t>
            </w:r>
          </w:p>
        </w:tc>
        <w:tc>
          <w:tcPr>
            <w:tcW w:w="1812" w:type="dxa"/>
            <w:tcBorders>
              <w:bottom w:val="single" w:sz="4" w:space="0" w:color="000000"/>
            </w:tcBorders>
          </w:tcPr>
          <w:p w14:paraId="17702C3E" w14:textId="1AABF628" w:rsidR="00AD304C" w:rsidRPr="00AD304C" w:rsidRDefault="00AD304C" w:rsidP="00AD304C">
            <w:pPr>
              <w:jc w:val="center"/>
              <w:rPr>
                <w:i/>
                <w:lang w:eastAsia="en-AU" w:bidi="ar-SA"/>
              </w:rPr>
            </w:pPr>
            <w:r w:rsidRPr="00AD304C">
              <w:rPr>
                <w:i/>
                <w:lang w:eastAsia="en-AU" w:bidi="ar-SA"/>
              </w:rPr>
              <w:t>DAG (%)</w:t>
            </w:r>
          </w:p>
        </w:tc>
      </w:tr>
      <w:tr w:rsidR="009F55FA" w14:paraId="58172D3F" w14:textId="77777777" w:rsidTr="009157EC">
        <w:tc>
          <w:tcPr>
            <w:tcW w:w="1812" w:type="dxa"/>
            <w:tcBorders>
              <w:bottom w:val="nil"/>
              <w:right w:val="nil"/>
            </w:tcBorders>
          </w:tcPr>
          <w:p w14:paraId="4596B245" w14:textId="6292FD1F" w:rsidR="009F55FA" w:rsidRDefault="00AD304C" w:rsidP="00AD304C">
            <w:pPr>
              <w:jc w:val="center"/>
              <w:rPr>
                <w:lang w:eastAsia="en-AU" w:bidi="ar-SA"/>
              </w:rPr>
            </w:pPr>
            <w:r>
              <w:rPr>
                <w:lang w:eastAsia="en-AU" w:bidi="ar-SA"/>
              </w:rPr>
              <w:t>1</w:t>
            </w:r>
          </w:p>
        </w:tc>
        <w:tc>
          <w:tcPr>
            <w:tcW w:w="1812" w:type="dxa"/>
            <w:tcBorders>
              <w:left w:val="nil"/>
              <w:bottom w:val="nil"/>
              <w:right w:val="nil"/>
            </w:tcBorders>
          </w:tcPr>
          <w:p w14:paraId="4141D91B" w14:textId="7473150E" w:rsidR="009F55FA" w:rsidRDefault="00AD304C" w:rsidP="00AD304C">
            <w:pPr>
              <w:jc w:val="center"/>
              <w:rPr>
                <w:lang w:eastAsia="en-AU" w:bidi="ar-SA"/>
              </w:rPr>
            </w:pPr>
            <w:r>
              <w:rPr>
                <w:lang w:eastAsia="en-AU" w:bidi="ar-SA"/>
              </w:rPr>
              <w:t>Control-1</w:t>
            </w:r>
          </w:p>
        </w:tc>
        <w:tc>
          <w:tcPr>
            <w:tcW w:w="1812" w:type="dxa"/>
            <w:tcBorders>
              <w:left w:val="nil"/>
              <w:bottom w:val="nil"/>
              <w:right w:val="nil"/>
            </w:tcBorders>
          </w:tcPr>
          <w:p w14:paraId="1632CB0F" w14:textId="34EF4AF1" w:rsidR="009F55FA" w:rsidRDefault="00AD304C" w:rsidP="00AD304C">
            <w:pPr>
              <w:jc w:val="center"/>
              <w:rPr>
                <w:lang w:eastAsia="en-AU" w:bidi="ar-SA"/>
              </w:rPr>
            </w:pPr>
            <w:r>
              <w:rPr>
                <w:lang w:eastAsia="en-AU" w:bidi="ar-SA"/>
              </w:rPr>
              <w:t>4.5</w:t>
            </w:r>
          </w:p>
        </w:tc>
        <w:tc>
          <w:tcPr>
            <w:tcW w:w="1812" w:type="dxa"/>
            <w:tcBorders>
              <w:left w:val="nil"/>
              <w:bottom w:val="nil"/>
              <w:right w:val="nil"/>
            </w:tcBorders>
          </w:tcPr>
          <w:p w14:paraId="35A4C7A8" w14:textId="7BC264A8" w:rsidR="009F55FA" w:rsidRDefault="00AD304C" w:rsidP="00AD304C">
            <w:pPr>
              <w:jc w:val="center"/>
              <w:rPr>
                <w:lang w:eastAsia="en-AU" w:bidi="ar-SA"/>
              </w:rPr>
            </w:pPr>
            <w:r>
              <w:rPr>
                <w:lang w:eastAsia="en-AU" w:bidi="ar-SA"/>
              </w:rPr>
              <w:t>-</w:t>
            </w:r>
          </w:p>
        </w:tc>
        <w:tc>
          <w:tcPr>
            <w:tcW w:w="1812" w:type="dxa"/>
            <w:tcBorders>
              <w:left w:val="nil"/>
              <w:bottom w:val="nil"/>
            </w:tcBorders>
          </w:tcPr>
          <w:p w14:paraId="0D8C3D45" w14:textId="0CB2164C" w:rsidR="009F55FA" w:rsidRDefault="009157EC" w:rsidP="00AD304C">
            <w:pPr>
              <w:jc w:val="center"/>
              <w:rPr>
                <w:lang w:eastAsia="en-AU" w:bidi="ar-SA"/>
              </w:rPr>
            </w:pPr>
            <w:r>
              <w:rPr>
                <w:lang w:eastAsia="en-AU" w:bidi="ar-SA"/>
              </w:rPr>
              <w:t>-</w:t>
            </w:r>
          </w:p>
        </w:tc>
      </w:tr>
      <w:tr w:rsidR="009F55FA" w14:paraId="485FF3FF" w14:textId="77777777" w:rsidTr="009157EC">
        <w:tc>
          <w:tcPr>
            <w:tcW w:w="1812" w:type="dxa"/>
            <w:tcBorders>
              <w:top w:val="nil"/>
              <w:bottom w:val="nil"/>
              <w:right w:val="nil"/>
            </w:tcBorders>
          </w:tcPr>
          <w:p w14:paraId="0C2FB809" w14:textId="2DB68EC3" w:rsidR="009F55FA" w:rsidRDefault="00AD304C" w:rsidP="00AD304C">
            <w:pPr>
              <w:jc w:val="center"/>
              <w:rPr>
                <w:lang w:eastAsia="en-AU" w:bidi="ar-SA"/>
              </w:rPr>
            </w:pPr>
            <w:r>
              <w:rPr>
                <w:lang w:eastAsia="en-AU" w:bidi="ar-SA"/>
              </w:rPr>
              <w:t>2</w:t>
            </w:r>
          </w:p>
        </w:tc>
        <w:tc>
          <w:tcPr>
            <w:tcW w:w="1812" w:type="dxa"/>
            <w:tcBorders>
              <w:top w:val="nil"/>
              <w:left w:val="nil"/>
              <w:bottom w:val="nil"/>
              <w:right w:val="nil"/>
            </w:tcBorders>
          </w:tcPr>
          <w:p w14:paraId="1DB3E532" w14:textId="47578529" w:rsidR="009F55FA" w:rsidRDefault="00AD304C" w:rsidP="00AD304C">
            <w:pPr>
              <w:jc w:val="center"/>
              <w:rPr>
                <w:lang w:eastAsia="en-AU" w:bidi="ar-SA"/>
              </w:rPr>
            </w:pPr>
            <w:r>
              <w:rPr>
                <w:lang w:eastAsia="en-AU" w:bidi="ar-SA"/>
              </w:rPr>
              <w:t>Control-2</w:t>
            </w:r>
          </w:p>
        </w:tc>
        <w:tc>
          <w:tcPr>
            <w:tcW w:w="1812" w:type="dxa"/>
            <w:tcBorders>
              <w:top w:val="nil"/>
              <w:left w:val="nil"/>
              <w:bottom w:val="nil"/>
              <w:right w:val="nil"/>
            </w:tcBorders>
          </w:tcPr>
          <w:p w14:paraId="196C8449" w14:textId="6632C114" w:rsidR="009F55FA" w:rsidRDefault="00AD304C" w:rsidP="00AD304C">
            <w:pPr>
              <w:jc w:val="center"/>
              <w:rPr>
                <w:lang w:eastAsia="en-AU" w:bidi="ar-SA"/>
              </w:rPr>
            </w:pPr>
            <w:r>
              <w:rPr>
                <w:lang w:eastAsia="en-AU" w:bidi="ar-SA"/>
              </w:rPr>
              <w:t>-</w:t>
            </w:r>
          </w:p>
        </w:tc>
        <w:tc>
          <w:tcPr>
            <w:tcW w:w="1812" w:type="dxa"/>
            <w:tcBorders>
              <w:top w:val="nil"/>
              <w:left w:val="nil"/>
              <w:bottom w:val="nil"/>
              <w:right w:val="nil"/>
            </w:tcBorders>
          </w:tcPr>
          <w:p w14:paraId="731BA52E" w14:textId="5A4EF394" w:rsidR="009F55FA" w:rsidRDefault="00AD304C" w:rsidP="00AD304C">
            <w:pPr>
              <w:jc w:val="center"/>
              <w:rPr>
                <w:lang w:eastAsia="en-AU" w:bidi="ar-SA"/>
              </w:rPr>
            </w:pPr>
            <w:r>
              <w:rPr>
                <w:lang w:eastAsia="en-AU" w:bidi="ar-SA"/>
              </w:rPr>
              <w:t>5.5</w:t>
            </w:r>
          </w:p>
        </w:tc>
        <w:tc>
          <w:tcPr>
            <w:tcW w:w="1812" w:type="dxa"/>
            <w:tcBorders>
              <w:top w:val="nil"/>
              <w:left w:val="nil"/>
              <w:bottom w:val="nil"/>
            </w:tcBorders>
          </w:tcPr>
          <w:p w14:paraId="069CCC8D" w14:textId="3EA37C24" w:rsidR="009F55FA" w:rsidRDefault="009157EC" w:rsidP="00AD304C">
            <w:pPr>
              <w:jc w:val="center"/>
              <w:rPr>
                <w:lang w:eastAsia="en-AU" w:bidi="ar-SA"/>
              </w:rPr>
            </w:pPr>
            <w:r>
              <w:rPr>
                <w:lang w:eastAsia="en-AU" w:bidi="ar-SA"/>
              </w:rPr>
              <w:t>0</w:t>
            </w:r>
          </w:p>
        </w:tc>
      </w:tr>
      <w:tr w:rsidR="009F55FA" w14:paraId="09530087" w14:textId="77777777" w:rsidTr="009157EC">
        <w:tc>
          <w:tcPr>
            <w:tcW w:w="1812" w:type="dxa"/>
            <w:tcBorders>
              <w:top w:val="nil"/>
              <w:bottom w:val="nil"/>
              <w:right w:val="nil"/>
            </w:tcBorders>
          </w:tcPr>
          <w:p w14:paraId="24204F03" w14:textId="60D5EE4C" w:rsidR="009F55FA" w:rsidRDefault="00AD304C" w:rsidP="00AD304C">
            <w:pPr>
              <w:jc w:val="center"/>
              <w:rPr>
                <w:lang w:eastAsia="en-AU" w:bidi="ar-SA"/>
              </w:rPr>
            </w:pPr>
            <w:r>
              <w:rPr>
                <w:lang w:eastAsia="en-AU" w:bidi="ar-SA"/>
              </w:rPr>
              <w:t>3</w:t>
            </w:r>
          </w:p>
        </w:tc>
        <w:tc>
          <w:tcPr>
            <w:tcW w:w="1812" w:type="dxa"/>
            <w:tcBorders>
              <w:top w:val="nil"/>
              <w:left w:val="nil"/>
              <w:bottom w:val="nil"/>
              <w:right w:val="nil"/>
            </w:tcBorders>
          </w:tcPr>
          <w:p w14:paraId="0683E39C" w14:textId="011FFF4F" w:rsidR="009F55FA" w:rsidRDefault="00AD304C" w:rsidP="00AD304C">
            <w:pPr>
              <w:jc w:val="center"/>
              <w:rPr>
                <w:lang w:eastAsia="en-AU" w:bidi="ar-SA"/>
              </w:rPr>
            </w:pPr>
            <w:r>
              <w:rPr>
                <w:lang w:eastAsia="en-AU" w:bidi="ar-SA"/>
              </w:rPr>
              <w:t>DAG-low</w:t>
            </w:r>
          </w:p>
        </w:tc>
        <w:tc>
          <w:tcPr>
            <w:tcW w:w="1812" w:type="dxa"/>
            <w:tcBorders>
              <w:top w:val="nil"/>
              <w:left w:val="nil"/>
              <w:bottom w:val="nil"/>
              <w:right w:val="nil"/>
            </w:tcBorders>
          </w:tcPr>
          <w:p w14:paraId="0CBF9005" w14:textId="7FBFF402" w:rsidR="009F55FA" w:rsidRDefault="00AD304C" w:rsidP="00AD304C">
            <w:pPr>
              <w:jc w:val="center"/>
              <w:rPr>
                <w:lang w:eastAsia="en-AU" w:bidi="ar-SA"/>
              </w:rPr>
            </w:pPr>
            <w:r>
              <w:rPr>
                <w:lang w:eastAsia="en-AU" w:bidi="ar-SA"/>
              </w:rPr>
              <w:t>-</w:t>
            </w:r>
          </w:p>
        </w:tc>
        <w:tc>
          <w:tcPr>
            <w:tcW w:w="1812" w:type="dxa"/>
            <w:tcBorders>
              <w:top w:val="nil"/>
              <w:left w:val="nil"/>
              <w:bottom w:val="nil"/>
              <w:right w:val="nil"/>
            </w:tcBorders>
          </w:tcPr>
          <w:p w14:paraId="2C04DA12" w14:textId="23F789FC" w:rsidR="009F55FA" w:rsidRDefault="00AD304C" w:rsidP="00AD304C">
            <w:pPr>
              <w:jc w:val="center"/>
              <w:rPr>
                <w:lang w:eastAsia="en-AU" w:bidi="ar-SA"/>
              </w:rPr>
            </w:pPr>
            <w:r>
              <w:rPr>
                <w:lang w:eastAsia="en-AU" w:bidi="ar-SA"/>
              </w:rPr>
              <w:t>4.5</w:t>
            </w:r>
          </w:p>
        </w:tc>
        <w:tc>
          <w:tcPr>
            <w:tcW w:w="1812" w:type="dxa"/>
            <w:tcBorders>
              <w:top w:val="nil"/>
              <w:left w:val="nil"/>
              <w:bottom w:val="nil"/>
            </w:tcBorders>
          </w:tcPr>
          <w:p w14:paraId="512EBE9A" w14:textId="5C761171" w:rsidR="009F55FA" w:rsidRDefault="009157EC" w:rsidP="00AD304C">
            <w:pPr>
              <w:jc w:val="center"/>
              <w:rPr>
                <w:lang w:eastAsia="en-AU" w:bidi="ar-SA"/>
              </w:rPr>
            </w:pPr>
            <w:r>
              <w:rPr>
                <w:lang w:eastAsia="en-AU" w:bidi="ar-SA"/>
              </w:rPr>
              <w:t>1</w:t>
            </w:r>
          </w:p>
        </w:tc>
      </w:tr>
      <w:tr w:rsidR="009F55FA" w14:paraId="66C194E9" w14:textId="77777777" w:rsidTr="009157EC">
        <w:tc>
          <w:tcPr>
            <w:tcW w:w="1812" w:type="dxa"/>
            <w:tcBorders>
              <w:top w:val="nil"/>
              <w:bottom w:val="nil"/>
              <w:right w:val="nil"/>
            </w:tcBorders>
          </w:tcPr>
          <w:p w14:paraId="5047E1B5" w14:textId="309EE812" w:rsidR="009F55FA" w:rsidRDefault="00AD304C" w:rsidP="00AD304C">
            <w:pPr>
              <w:jc w:val="center"/>
              <w:rPr>
                <w:lang w:eastAsia="en-AU" w:bidi="ar-SA"/>
              </w:rPr>
            </w:pPr>
            <w:r>
              <w:rPr>
                <w:lang w:eastAsia="en-AU" w:bidi="ar-SA"/>
              </w:rPr>
              <w:t>4</w:t>
            </w:r>
          </w:p>
        </w:tc>
        <w:tc>
          <w:tcPr>
            <w:tcW w:w="1812" w:type="dxa"/>
            <w:tcBorders>
              <w:top w:val="nil"/>
              <w:left w:val="nil"/>
              <w:bottom w:val="nil"/>
              <w:right w:val="nil"/>
            </w:tcBorders>
          </w:tcPr>
          <w:p w14:paraId="70AAAC1A" w14:textId="066BA8FF" w:rsidR="009F55FA" w:rsidRDefault="00AD304C" w:rsidP="00AD304C">
            <w:pPr>
              <w:jc w:val="center"/>
              <w:rPr>
                <w:lang w:eastAsia="en-AU" w:bidi="ar-SA"/>
              </w:rPr>
            </w:pPr>
            <w:r>
              <w:rPr>
                <w:lang w:eastAsia="en-AU" w:bidi="ar-SA"/>
              </w:rPr>
              <w:t>DAG-mid</w:t>
            </w:r>
          </w:p>
        </w:tc>
        <w:tc>
          <w:tcPr>
            <w:tcW w:w="1812" w:type="dxa"/>
            <w:tcBorders>
              <w:top w:val="nil"/>
              <w:left w:val="nil"/>
              <w:bottom w:val="nil"/>
              <w:right w:val="nil"/>
            </w:tcBorders>
          </w:tcPr>
          <w:p w14:paraId="5E9948FF" w14:textId="619A845B" w:rsidR="009F55FA" w:rsidRDefault="00AD304C" w:rsidP="00AD304C">
            <w:pPr>
              <w:jc w:val="center"/>
              <w:rPr>
                <w:lang w:eastAsia="en-AU" w:bidi="ar-SA"/>
              </w:rPr>
            </w:pPr>
            <w:r>
              <w:rPr>
                <w:lang w:eastAsia="en-AU" w:bidi="ar-SA"/>
              </w:rPr>
              <w:t>-</w:t>
            </w:r>
          </w:p>
        </w:tc>
        <w:tc>
          <w:tcPr>
            <w:tcW w:w="1812" w:type="dxa"/>
            <w:tcBorders>
              <w:top w:val="nil"/>
              <w:left w:val="nil"/>
              <w:bottom w:val="nil"/>
              <w:right w:val="nil"/>
            </w:tcBorders>
          </w:tcPr>
          <w:p w14:paraId="399239AD" w14:textId="73613C24" w:rsidR="009F55FA" w:rsidRDefault="00AD304C" w:rsidP="00AD304C">
            <w:pPr>
              <w:jc w:val="center"/>
              <w:rPr>
                <w:lang w:eastAsia="en-AU" w:bidi="ar-SA"/>
              </w:rPr>
            </w:pPr>
            <w:r>
              <w:rPr>
                <w:lang w:eastAsia="en-AU" w:bidi="ar-SA"/>
              </w:rPr>
              <w:t>2.75</w:t>
            </w:r>
          </w:p>
        </w:tc>
        <w:tc>
          <w:tcPr>
            <w:tcW w:w="1812" w:type="dxa"/>
            <w:tcBorders>
              <w:top w:val="nil"/>
              <w:left w:val="nil"/>
              <w:bottom w:val="nil"/>
            </w:tcBorders>
          </w:tcPr>
          <w:p w14:paraId="39BB6FEC" w14:textId="79389EB4" w:rsidR="009F55FA" w:rsidRDefault="009157EC" w:rsidP="00AD304C">
            <w:pPr>
              <w:jc w:val="center"/>
              <w:rPr>
                <w:lang w:eastAsia="en-AU" w:bidi="ar-SA"/>
              </w:rPr>
            </w:pPr>
            <w:r>
              <w:rPr>
                <w:lang w:eastAsia="en-AU" w:bidi="ar-SA"/>
              </w:rPr>
              <w:t>2.75</w:t>
            </w:r>
          </w:p>
        </w:tc>
      </w:tr>
      <w:tr w:rsidR="009F55FA" w14:paraId="70E275C9" w14:textId="77777777" w:rsidTr="009157EC">
        <w:tc>
          <w:tcPr>
            <w:tcW w:w="1812" w:type="dxa"/>
            <w:tcBorders>
              <w:top w:val="nil"/>
              <w:right w:val="nil"/>
            </w:tcBorders>
          </w:tcPr>
          <w:p w14:paraId="2B7AA93B" w14:textId="6A48D901" w:rsidR="009F55FA" w:rsidRDefault="00AD304C" w:rsidP="00AD304C">
            <w:pPr>
              <w:jc w:val="center"/>
              <w:rPr>
                <w:lang w:eastAsia="en-AU" w:bidi="ar-SA"/>
              </w:rPr>
            </w:pPr>
            <w:r>
              <w:rPr>
                <w:lang w:eastAsia="en-AU" w:bidi="ar-SA"/>
              </w:rPr>
              <w:t>5</w:t>
            </w:r>
          </w:p>
        </w:tc>
        <w:tc>
          <w:tcPr>
            <w:tcW w:w="1812" w:type="dxa"/>
            <w:tcBorders>
              <w:top w:val="nil"/>
              <w:left w:val="nil"/>
              <w:right w:val="nil"/>
            </w:tcBorders>
          </w:tcPr>
          <w:p w14:paraId="1BBAF635" w14:textId="719BF19D" w:rsidR="009F55FA" w:rsidRDefault="00AD304C" w:rsidP="00AD304C">
            <w:pPr>
              <w:jc w:val="center"/>
              <w:rPr>
                <w:lang w:eastAsia="en-AU" w:bidi="ar-SA"/>
              </w:rPr>
            </w:pPr>
            <w:r>
              <w:rPr>
                <w:lang w:eastAsia="en-AU" w:bidi="ar-SA"/>
              </w:rPr>
              <w:t>DAG-high</w:t>
            </w:r>
          </w:p>
        </w:tc>
        <w:tc>
          <w:tcPr>
            <w:tcW w:w="1812" w:type="dxa"/>
            <w:tcBorders>
              <w:top w:val="nil"/>
              <w:left w:val="nil"/>
              <w:right w:val="nil"/>
            </w:tcBorders>
          </w:tcPr>
          <w:p w14:paraId="6E840473" w14:textId="58AF11E9" w:rsidR="009F55FA" w:rsidRDefault="00AD304C" w:rsidP="00AD304C">
            <w:pPr>
              <w:jc w:val="center"/>
              <w:rPr>
                <w:lang w:eastAsia="en-AU" w:bidi="ar-SA"/>
              </w:rPr>
            </w:pPr>
            <w:r>
              <w:rPr>
                <w:lang w:eastAsia="en-AU" w:bidi="ar-SA"/>
              </w:rPr>
              <w:t>-</w:t>
            </w:r>
          </w:p>
        </w:tc>
        <w:tc>
          <w:tcPr>
            <w:tcW w:w="1812" w:type="dxa"/>
            <w:tcBorders>
              <w:top w:val="nil"/>
              <w:left w:val="nil"/>
              <w:right w:val="nil"/>
            </w:tcBorders>
          </w:tcPr>
          <w:p w14:paraId="59ABAEA1" w14:textId="2E0A73F9" w:rsidR="009F55FA" w:rsidRDefault="00AD304C" w:rsidP="00AD304C">
            <w:pPr>
              <w:jc w:val="center"/>
              <w:rPr>
                <w:lang w:eastAsia="en-AU" w:bidi="ar-SA"/>
              </w:rPr>
            </w:pPr>
            <w:r>
              <w:rPr>
                <w:lang w:eastAsia="en-AU" w:bidi="ar-SA"/>
              </w:rPr>
              <w:t>0</w:t>
            </w:r>
          </w:p>
        </w:tc>
        <w:tc>
          <w:tcPr>
            <w:tcW w:w="1812" w:type="dxa"/>
            <w:tcBorders>
              <w:top w:val="nil"/>
              <w:left w:val="nil"/>
            </w:tcBorders>
          </w:tcPr>
          <w:p w14:paraId="2A574443" w14:textId="71CD7926" w:rsidR="009F55FA" w:rsidRDefault="009157EC" w:rsidP="00AD304C">
            <w:pPr>
              <w:jc w:val="center"/>
              <w:rPr>
                <w:lang w:eastAsia="en-AU" w:bidi="ar-SA"/>
              </w:rPr>
            </w:pPr>
            <w:r>
              <w:rPr>
                <w:lang w:eastAsia="en-AU" w:bidi="ar-SA"/>
              </w:rPr>
              <w:t>5.5</w:t>
            </w:r>
          </w:p>
        </w:tc>
      </w:tr>
      <w:tr w:rsidR="009157EC" w14:paraId="41A92F0B" w14:textId="77777777" w:rsidTr="006A24DE">
        <w:tc>
          <w:tcPr>
            <w:tcW w:w="3624" w:type="dxa"/>
            <w:gridSpan w:val="2"/>
            <w:tcBorders>
              <w:bottom w:val="single" w:sz="4" w:space="0" w:color="000000"/>
            </w:tcBorders>
          </w:tcPr>
          <w:p w14:paraId="2F0EFAE9" w14:textId="4F36EFB5" w:rsidR="009157EC" w:rsidRDefault="009157EC" w:rsidP="006B0880">
            <w:pPr>
              <w:rPr>
                <w:lang w:eastAsia="en-AU" w:bidi="ar-SA"/>
              </w:rPr>
            </w:pPr>
            <w:r w:rsidRPr="00216690">
              <w:rPr>
                <w:i/>
                <w:lang w:eastAsia="en-AU" w:bidi="ar-SA"/>
              </w:rPr>
              <w:t>Ad libitum</w:t>
            </w:r>
            <w:r>
              <w:rPr>
                <w:lang w:eastAsia="en-AU" w:bidi="ar-SA"/>
              </w:rPr>
              <w:t xml:space="preserve"> </w:t>
            </w:r>
            <w:r w:rsidRPr="00AD304C">
              <w:rPr>
                <w:i/>
                <w:lang w:eastAsia="en-AU" w:bidi="ar-SA"/>
              </w:rPr>
              <w:t>satellite groups</w:t>
            </w:r>
          </w:p>
        </w:tc>
        <w:tc>
          <w:tcPr>
            <w:tcW w:w="5436" w:type="dxa"/>
            <w:gridSpan w:val="3"/>
            <w:tcBorders>
              <w:bottom w:val="single" w:sz="4" w:space="0" w:color="000000"/>
            </w:tcBorders>
          </w:tcPr>
          <w:p w14:paraId="61457BBF" w14:textId="77777777" w:rsidR="009157EC" w:rsidRDefault="009157EC" w:rsidP="006B0880">
            <w:pPr>
              <w:rPr>
                <w:lang w:eastAsia="en-AU" w:bidi="ar-SA"/>
              </w:rPr>
            </w:pPr>
          </w:p>
        </w:tc>
      </w:tr>
      <w:tr w:rsidR="009F55FA" w14:paraId="648963F7" w14:textId="77777777" w:rsidTr="009157EC">
        <w:tc>
          <w:tcPr>
            <w:tcW w:w="1812" w:type="dxa"/>
            <w:tcBorders>
              <w:bottom w:val="nil"/>
              <w:right w:val="nil"/>
            </w:tcBorders>
          </w:tcPr>
          <w:p w14:paraId="127E9EFA" w14:textId="441603F6" w:rsidR="009F55FA" w:rsidRDefault="00AD304C" w:rsidP="00AD304C">
            <w:pPr>
              <w:jc w:val="center"/>
              <w:rPr>
                <w:lang w:eastAsia="en-AU" w:bidi="ar-SA"/>
              </w:rPr>
            </w:pPr>
            <w:r>
              <w:rPr>
                <w:lang w:eastAsia="en-AU" w:bidi="ar-SA"/>
              </w:rPr>
              <w:t>6</w:t>
            </w:r>
          </w:p>
        </w:tc>
        <w:tc>
          <w:tcPr>
            <w:tcW w:w="1812" w:type="dxa"/>
            <w:tcBorders>
              <w:left w:val="nil"/>
              <w:bottom w:val="nil"/>
              <w:right w:val="nil"/>
            </w:tcBorders>
          </w:tcPr>
          <w:p w14:paraId="1EA59877" w14:textId="0B4865BC" w:rsidR="009F55FA" w:rsidRDefault="00AD304C" w:rsidP="00AD304C">
            <w:pPr>
              <w:jc w:val="center"/>
              <w:rPr>
                <w:lang w:eastAsia="en-AU" w:bidi="ar-SA"/>
              </w:rPr>
            </w:pPr>
            <w:r>
              <w:rPr>
                <w:lang w:eastAsia="en-AU" w:bidi="ar-SA"/>
              </w:rPr>
              <w:t>Control 3</w:t>
            </w:r>
          </w:p>
        </w:tc>
        <w:tc>
          <w:tcPr>
            <w:tcW w:w="1812" w:type="dxa"/>
            <w:tcBorders>
              <w:left w:val="nil"/>
              <w:bottom w:val="nil"/>
              <w:right w:val="nil"/>
            </w:tcBorders>
          </w:tcPr>
          <w:p w14:paraId="51D6D72F" w14:textId="5BD9722D" w:rsidR="009F55FA" w:rsidRDefault="00AD304C" w:rsidP="00AD304C">
            <w:pPr>
              <w:jc w:val="center"/>
              <w:rPr>
                <w:lang w:eastAsia="en-AU" w:bidi="ar-SA"/>
              </w:rPr>
            </w:pPr>
            <w:r>
              <w:rPr>
                <w:lang w:eastAsia="en-AU" w:bidi="ar-SA"/>
              </w:rPr>
              <w:t>-</w:t>
            </w:r>
          </w:p>
        </w:tc>
        <w:tc>
          <w:tcPr>
            <w:tcW w:w="1812" w:type="dxa"/>
            <w:tcBorders>
              <w:left w:val="nil"/>
              <w:bottom w:val="nil"/>
              <w:right w:val="nil"/>
            </w:tcBorders>
          </w:tcPr>
          <w:p w14:paraId="3A0A0AA1" w14:textId="439B3C1B" w:rsidR="009F55FA" w:rsidRDefault="00AD304C" w:rsidP="00AD304C">
            <w:pPr>
              <w:jc w:val="center"/>
              <w:rPr>
                <w:lang w:eastAsia="en-AU" w:bidi="ar-SA"/>
              </w:rPr>
            </w:pPr>
            <w:r>
              <w:rPr>
                <w:lang w:eastAsia="en-AU" w:bidi="ar-SA"/>
              </w:rPr>
              <w:t>5.5</w:t>
            </w:r>
          </w:p>
        </w:tc>
        <w:tc>
          <w:tcPr>
            <w:tcW w:w="1812" w:type="dxa"/>
            <w:tcBorders>
              <w:left w:val="nil"/>
              <w:bottom w:val="nil"/>
            </w:tcBorders>
          </w:tcPr>
          <w:p w14:paraId="2E469330" w14:textId="690CE23F" w:rsidR="009F55FA" w:rsidRDefault="009157EC" w:rsidP="00AD304C">
            <w:pPr>
              <w:jc w:val="center"/>
              <w:rPr>
                <w:lang w:eastAsia="en-AU" w:bidi="ar-SA"/>
              </w:rPr>
            </w:pPr>
            <w:r>
              <w:rPr>
                <w:lang w:eastAsia="en-AU" w:bidi="ar-SA"/>
              </w:rPr>
              <w:t>0</w:t>
            </w:r>
          </w:p>
        </w:tc>
      </w:tr>
      <w:tr w:rsidR="009F55FA" w14:paraId="488083AD" w14:textId="77777777" w:rsidTr="009157EC">
        <w:tc>
          <w:tcPr>
            <w:tcW w:w="1812" w:type="dxa"/>
            <w:tcBorders>
              <w:top w:val="nil"/>
              <w:right w:val="nil"/>
            </w:tcBorders>
          </w:tcPr>
          <w:p w14:paraId="05CCD82C" w14:textId="56765E8D" w:rsidR="009F55FA" w:rsidRDefault="00AD304C" w:rsidP="00AD304C">
            <w:pPr>
              <w:jc w:val="center"/>
              <w:rPr>
                <w:lang w:eastAsia="en-AU" w:bidi="ar-SA"/>
              </w:rPr>
            </w:pPr>
            <w:r>
              <w:rPr>
                <w:lang w:eastAsia="en-AU" w:bidi="ar-SA"/>
              </w:rPr>
              <w:t>7</w:t>
            </w:r>
          </w:p>
        </w:tc>
        <w:tc>
          <w:tcPr>
            <w:tcW w:w="1812" w:type="dxa"/>
            <w:tcBorders>
              <w:top w:val="nil"/>
              <w:left w:val="nil"/>
              <w:right w:val="nil"/>
            </w:tcBorders>
          </w:tcPr>
          <w:p w14:paraId="1E8DB081" w14:textId="4FC5E479" w:rsidR="009F55FA" w:rsidRDefault="00AD304C" w:rsidP="00AD304C">
            <w:pPr>
              <w:jc w:val="center"/>
              <w:rPr>
                <w:lang w:eastAsia="en-AU" w:bidi="ar-SA"/>
              </w:rPr>
            </w:pPr>
            <w:r>
              <w:rPr>
                <w:lang w:eastAsia="en-AU" w:bidi="ar-SA"/>
              </w:rPr>
              <w:t>DAG-high</w:t>
            </w:r>
          </w:p>
        </w:tc>
        <w:tc>
          <w:tcPr>
            <w:tcW w:w="1812" w:type="dxa"/>
            <w:tcBorders>
              <w:top w:val="nil"/>
              <w:left w:val="nil"/>
              <w:right w:val="nil"/>
            </w:tcBorders>
          </w:tcPr>
          <w:p w14:paraId="3CB91842" w14:textId="75D6A58F" w:rsidR="009F55FA" w:rsidRDefault="00AD304C" w:rsidP="00AD304C">
            <w:pPr>
              <w:jc w:val="center"/>
              <w:rPr>
                <w:lang w:eastAsia="en-AU" w:bidi="ar-SA"/>
              </w:rPr>
            </w:pPr>
            <w:r>
              <w:rPr>
                <w:lang w:eastAsia="en-AU" w:bidi="ar-SA"/>
              </w:rPr>
              <w:t>-</w:t>
            </w:r>
          </w:p>
        </w:tc>
        <w:tc>
          <w:tcPr>
            <w:tcW w:w="1812" w:type="dxa"/>
            <w:tcBorders>
              <w:top w:val="nil"/>
              <w:left w:val="nil"/>
              <w:right w:val="nil"/>
            </w:tcBorders>
          </w:tcPr>
          <w:p w14:paraId="23E47C30" w14:textId="3B27CE75" w:rsidR="009F55FA" w:rsidRDefault="00AD304C" w:rsidP="00AD304C">
            <w:pPr>
              <w:jc w:val="center"/>
              <w:rPr>
                <w:lang w:eastAsia="en-AU" w:bidi="ar-SA"/>
              </w:rPr>
            </w:pPr>
            <w:r>
              <w:rPr>
                <w:lang w:eastAsia="en-AU" w:bidi="ar-SA"/>
              </w:rPr>
              <w:t>0</w:t>
            </w:r>
          </w:p>
        </w:tc>
        <w:tc>
          <w:tcPr>
            <w:tcW w:w="1812" w:type="dxa"/>
            <w:tcBorders>
              <w:top w:val="nil"/>
              <w:left w:val="nil"/>
            </w:tcBorders>
          </w:tcPr>
          <w:p w14:paraId="0F7CF99C" w14:textId="053954A1" w:rsidR="009F55FA" w:rsidRDefault="009157EC" w:rsidP="00AD304C">
            <w:pPr>
              <w:jc w:val="center"/>
              <w:rPr>
                <w:lang w:eastAsia="en-AU" w:bidi="ar-SA"/>
              </w:rPr>
            </w:pPr>
            <w:r>
              <w:rPr>
                <w:lang w:eastAsia="en-AU" w:bidi="ar-SA"/>
              </w:rPr>
              <w:t>5.5</w:t>
            </w:r>
          </w:p>
        </w:tc>
      </w:tr>
    </w:tbl>
    <w:p w14:paraId="4B32EED6" w14:textId="5D90F282" w:rsidR="00EF1E90" w:rsidRPr="00D82EBC" w:rsidRDefault="00EF1E90" w:rsidP="006B0880">
      <w:pPr>
        <w:rPr>
          <w:lang w:eastAsia="en-AU" w:bidi="ar-SA"/>
        </w:rPr>
      </w:pPr>
    </w:p>
    <w:p w14:paraId="76A6E536" w14:textId="77777777" w:rsidR="006B0880" w:rsidRPr="00D82EBC" w:rsidRDefault="006B0880" w:rsidP="006B0880">
      <w:pPr>
        <w:rPr>
          <w:lang w:eastAsia="en-AU" w:bidi="ar-SA"/>
        </w:rPr>
      </w:pPr>
    </w:p>
    <w:p w14:paraId="7BB43EC7" w14:textId="779B8B10" w:rsidR="006B0880" w:rsidRPr="00D82EBC" w:rsidRDefault="006B0880" w:rsidP="006B0880">
      <w:pPr>
        <w:rPr>
          <w:lang w:eastAsia="en-AU" w:bidi="ar-SA"/>
        </w:rPr>
      </w:pPr>
      <w:r w:rsidRPr="00D82EBC">
        <w:rPr>
          <w:lang w:eastAsia="en-AU" w:bidi="ar-SA"/>
        </w:rPr>
        <w:t>Rats of Crl:CD</w:t>
      </w:r>
      <w:r w:rsidRPr="00D82EBC">
        <w:rPr>
          <w:rFonts w:cs="Arial"/>
          <w:lang w:eastAsia="en-AU" w:bidi="ar-SA"/>
        </w:rPr>
        <w:t>®</w:t>
      </w:r>
      <w:r w:rsidRPr="00D82EBC">
        <w:rPr>
          <w:lang w:eastAsia="en-AU" w:bidi="ar-SA"/>
        </w:rPr>
        <w:t xml:space="preserve">(SD)-IGS BR strain (Charles River Sprague Dawley) were 28 days old on receipt. They were acclimatised to standard laboratory environmental conditions for 16 days prior to study start. Prestudy assessments included body weights, physical examinations, ophthalmic examinations and physical examinations, and rats from which the main study subjects were selected were placed on the restricted diet regimen for the seven days prior to study start. Rats were housed individually during the study, with </w:t>
      </w:r>
      <w:r w:rsidRPr="00D82EBC">
        <w:rPr>
          <w:i/>
          <w:lang w:eastAsia="en-AU" w:bidi="ar-SA"/>
        </w:rPr>
        <w:t>ad libitum</w:t>
      </w:r>
      <w:r w:rsidRPr="00D82EBC">
        <w:rPr>
          <w:lang w:eastAsia="en-AU" w:bidi="ar-SA"/>
        </w:rPr>
        <w:t xml:space="preserve"> water, and randomised to groups of 50/sex/group for the main study, and 65/sex/group for the satellite study. All rats were subject to twice-daily mortality/moribundity checks and daily cageside observations. Detailed clinical observations were conducted weekly from one week prior to study start. Body weights were recorded weekly from approximately one week prior to study start through to Week 68, and every two weeks thereafter. Food consumption was recorded daily for the main study rats, whereas for the satellite study rats, food consumption was recorded weekly until Week 68 and every two weeks thereafter. Ocular examinations were conducted on all rats in Week 51 and all male rats in Week 104. Ocular examinations were also conducted on 10 rats/group in Week 67 for satellite study females, Week 91 for satellite study males, and Week 95 for main study females. Five rats/sex/group were scanned with a densitometer to determine lean and non-lean body mass after 8 and 16 months (Weeks 34 and 65) on study. In addition, scanning was conducted on 5 female rats/group in satellite study in week 86; 5 male/rats/group in the satellite study in Week 91; 5 female rats/sex/group in the </w:t>
      </w:r>
      <w:r w:rsidRPr="00D82EBC">
        <w:rPr>
          <w:lang w:eastAsia="en-AU" w:bidi="ar-SA"/>
        </w:rPr>
        <w:lastRenderedPageBreak/>
        <w:t>main study in Week 94, and 5 male rats/sex/group in the main study in Week 103. Haematological assessment was conducted on blood from 10 rats/sex/group from all groups in Week 51; from satellite study group females in Week 91; from satellite study group males in Week 95; and from all main study rats prior to scheduled necropsy. All rats were subject to complete necropsy and a comprehensive list of organs and tissues were preserved for histopathology. Organ weights were recorded for adrenals, brain, epididymides, heart, kidneys, liver, ovaries, spleen, testes, thyroids and uterus, as sex-appropriate.</w:t>
      </w:r>
    </w:p>
    <w:p w14:paraId="4CD9435D" w14:textId="77777777" w:rsidR="006B0880" w:rsidRPr="00D82EBC" w:rsidRDefault="006B0880" w:rsidP="006B0880">
      <w:pPr>
        <w:rPr>
          <w:i/>
          <w:lang w:eastAsia="en-AU" w:bidi="ar-SA"/>
        </w:rPr>
      </w:pPr>
    </w:p>
    <w:p w14:paraId="45FA365A" w14:textId="0430B7BE" w:rsidR="006B0880" w:rsidRPr="00D82EBC" w:rsidRDefault="006B0880" w:rsidP="006B0880">
      <w:pPr>
        <w:rPr>
          <w:i/>
          <w:lang w:eastAsia="en-AU" w:bidi="ar-SA"/>
        </w:rPr>
      </w:pPr>
      <w:r w:rsidRPr="00D82EBC">
        <w:rPr>
          <w:lang w:eastAsia="en-AU" w:bidi="ar-SA"/>
        </w:rPr>
        <w:t xml:space="preserve">When compared to rats fed an equivalent amount of triglyceride in the diet and under the same dietary regimen (restricted or </w:t>
      </w:r>
      <w:r w:rsidRPr="00D82EBC">
        <w:rPr>
          <w:i/>
          <w:lang w:eastAsia="en-AU" w:bidi="ar-SA"/>
        </w:rPr>
        <w:t>ad libitum</w:t>
      </w:r>
      <w:r w:rsidRPr="00D82EBC">
        <w:rPr>
          <w:lang w:eastAsia="en-AU" w:bidi="ar-SA"/>
        </w:rPr>
        <w:t>), rats fed DAG showed no treatment-related effects on survival</w:t>
      </w:r>
      <w:r w:rsidR="00A91461">
        <w:rPr>
          <w:lang w:eastAsia="en-AU" w:bidi="ar-SA"/>
        </w:rPr>
        <w:t>,</w:t>
      </w:r>
      <w:r w:rsidRPr="00D82EBC">
        <w:rPr>
          <w:lang w:eastAsia="en-AU" w:bidi="ar-SA"/>
        </w:rPr>
        <w:t xml:space="preserve"> clinical observations, ophthalmic findings, body weights, organ weights, clinical pathology parameters, gross and microscopic lesions, latency of neoplasms or incidence of neoplasms. In the main study, when compared to the first control group fed a standard diet containing 4.5% lipid, both the second control group and the DAG-treated groups exhibited lower survival, higher body weights, higher percentage body fat, higher fat-related clinical chemistry parameters, higher incidence of lesions in a number of organs, and higher incidences of pituitary and mammary neoplasms. Rats in the satellite study, when compared to those on the main study, showed poorer survival, higher body weights, higher body fat, alterations in fat-related serum chemistry parameters, and higher incidences of lesions of heart, kidney and liver. However, there were no significant differences between rats fed DAG in an </w:t>
      </w:r>
      <w:r w:rsidRPr="009D692A">
        <w:rPr>
          <w:i/>
          <w:lang w:eastAsia="en-AU" w:bidi="ar-SA"/>
        </w:rPr>
        <w:t>ad libitum</w:t>
      </w:r>
      <w:r w:rsidRPr="00D82EBC">
        <w:rPr>
          <w:lang w:eastAsia="en-AU" w:bidi="ar-SA"/>
        </w:rPr>
        <w:t xml:space="preserve"> regimen and those fed an equivalent amount of triglyceride in an </w:t>
      </w:r>
      <w:r w:rsidRPr="009D692A">
        <w:rPr>
          <w:i/>
          <w:lang w:eastAsia="en-AU" w:bidi="ar-SA"/>
        </w:rPr>
        <w:t>ad libitum</w:t>
      </w:r>
      <w:r w:rsidRPr="00D82EBC">
        <w:rPr>
          <w:lang w:eastAsia="en-AU" w:bidi="ar-SA"/>
        </w:rPr>
        <w:t xml:space="preserve"> regimen. It was concluded that rats fed DAG instead of an equivalent amount of triglyceride did not exhibit higher risk of carcinogenic effects, or shorter latency to background neoplasms, than those fed triglyceride.</w:t>
      </w:r>
    </w:p>
    <w:p w14:paraId="54723ECA" w14:textId="767FF54C" w:rsidR="006B0880" w:rsidRPr="00104BBC" w:rsidRDefault="006B0880" w:rsidP="006B0880">
      <w:pPr>
        <w:rPr>
          <w:lang w:eastAsia="en-AU" w:bidi="ar-SA"/>
        </w:rPr>
      </w:pPr>
    </w:p>
    <w:p w14:paraId="6FFF92D1" w14:textId="77777777" w:rsidR="006B0880" w:rsidRDefault="006B0880" w:rsidP="006B0880">
      <w:pPr>
        <w:pStyle w:val="Heading4"/>
      </w:pPr>
      <w:r>
        <w:t>3.3.1.4</w:t>
      </w:r>
      <w:r>
        <w:tab/>
        <w:t>Genotoxicity assays</w:t>
      </w:r>
    </w:p>
    <w:p w14:paraId="3AB0468D" w14:textId="77777777" w:rsidR="006B0880" w:rsidRDefault="006B0880" w:rsidP="006B0880">
      <w:pPr>
        <w:rPr>
          <w:i/>
          <w:lang w:eastAsia="en-AU" w:bidi="ar-SA"/>
        </w:rPr>
      </w:pPr>
      <w:r w:rsidRPr="00FC286D">
        <w:rPr>
          <w:i/>
          <w:lang w:eastAsia="en-AU" w:bidi="ar-SA"/>
        </w:rPr>
        <w:t>Genotoxicity studies of dietary diacylglycerol (DAG) oil (Kasamatsu et al 2005).Regulatory status: GLP</w:t>
      </w:r>
      <w:r>
        <w:rPr>
          <w:i/>
          <w:lang w:eastAsia="en-AU" w:bidi="ar-SA"/>
        </w:rPr>
        <w:t>; conducted in accordance with OECD and MHLW guidelines.</w:t>
      </w:r>
    </w:p>
    <w:p w14:paraId="178F54FC" w14:textId="77777777" w:rsidR="006B0880" w:rsidRDefault="006B0880" w:rsidP="006B0880">
      <w:pPr>
        <w:rPr>
          <w:i/>
          <w:lang w:eastAsia="en-AU" w:bidi="ar-SA"/>
        </w:rPr>
      </w:pPr>
    </w:p>
    <w:p w14:paraId="70BBFF24" w14:textId="77777777" w:rsidR="006B0880" w:rsidRDefault="006B0880" w:rsidP="006B0880">
      <w:pPr>
        <w:rPr>
          <w:lang w:eastAsia="en-AU" w:bidi="ar-SA"/>
        </w:rPr>
      </w:pPr>
      <w:r>
        <w:rPr>
          <w:lang w:eastAsia="en-AU" w:bidi="ar-SA"/>
        </w:rPr>
        <w:t xml:space="preserve">A suite of genotoxicity assays, comprising a bacterial reverse mutation assay, chromosomal aberration assay in Chinese hamster lung cells, and bone marrow micronucleus assay in ICR CD mice, was conducted using edible oil containing &gt;80% diacylglycerol (DAG). </w:t>
      </w:r>
    </w:p>
    <w:p w14:paraId="7737FFBC" w14:textId="77777777" w:rsidR="006B0880" w:rsidRDefault="006B0880" w:rsidP="006B0880">
      <w:pPr>
        <w:rPr>
          <w:lang w:eastAsia="en-AU" w:bidi="ar-SA"/>
        </w:rPr>
      </w:pPr>
    </w:p>
    <w:p w14:paraId="3A5AD2A6" w14:textId="578B713F" w:rsidR="006B0880" w:rsidRDefault="006B0880" w:rsidP="006B0880">
      <w:pPr>
        <w:rPr>
          <w:lang w:eastAsia="en-AU" w:bidi="ar-SA"/>
        </w:rPr>
      </w:pPr>
      <w:r>
        <w:rPr>
          <w:lang w:eastAsia="en-AU" w:bidi="ar-SA"/>
        </w:rPr>
        <w:t xml:space="preserve">The bacterial reverse mutation assay was conducted using the plate incorporation method, with the standard bacterial strains and positive control substances. The solvent/negative control was DMSO. The experiments were conducted in the absence </w:t>
      </w:r>
      <w:r>
        <w:rPr>
          <w:lang w:eastAsia="en-AU" w:bidi="ar-SA"/>
        </w:rPr>
        <w:lastRenderedPageBreak/>
        <w:t xml:space="preserve">and presence of S9 mix for metabolic activation. Based on the dose-rangefinding experiment, the definitive experiment was conducted at doses up to 5000 </w:t>
      </w:r>
      <w:r>
        <w:rPr>
          <w:rFonts w:cs="Arial"/>
          <w:lang w:eastAsia="en-AU" w:bidi="ar-SA"/>
        </w:rPr>
        <w:t>µ</w:t>
      </w:r>
      <w:r>
        <w:rPr>
          <w:lang w:eastAsia="en-AU" w:bidi="ar-SA"/>
        </w:rPr>
        <w:t>g/plate. No bacterial toxicity was observed at any dose level, and there was no increase in revertant colonies when compared to the negative control plates. The positive control substances induced the expected increases in revertant colonies, confirming the validity of the assay.</w:t>
      </w:r>
    </w:p>
    <w:p w14:paraId="494FEDD1" w14:textId="77777777" w:rsidR="006B0880" w:rsidRDefault="006B0880" w:rsidP="006B0880">
      <w:pPr>
        <w:rPr>
          <w:lang w:eastAsia="en-AU" w:bidi="ar-SA"/>
        </w:rPr>
      </w:pPr>
    </w:p>
    <w:p w14:paraId="1A6337A8" w14:textId="5527DE92" w:rsidR="006B0880" w:rsidRDefault="006B0880" w:rsidP="006B0880">
      <w:pPr>
        <w:rPr>
          <w:lang w:eastAsia="en-AU" w:bidi="ar-SA"/>
        </w:rPr>
      </w:pPr>
      <w:r>
        <w:rPr>
          <w:lang w:eastAsia="en-AU" w:bidi="ar-SA"/>
        </w:rPr>
        <w:t xml:space="preserve">The chromosomal aberration assay was conducted at dose levels up to 5000 </w:t>
      </w:r>
      <w:r>
        <w:rPr>
          <w:rFonts w:cs="Arial"/>
          <w:lang w:eastAsia="en-AU" w:bidi="ar-SA"/>
        </w:rPr>
        <w:t>µ</w:t>
      </w:r>
      <w:r>
        <w:rPr>
          <w:lang w:eastAsia="en-AU" w:bidi="ar-SA"/>
        </w:rPr>
        <w:t>g/mL</w:t>
      </w:r>
      <w:r w:rsidR="00A91461">
        <w:rPr>
          <w:lang w:eastAsia="en-AU" w:bidi="ar-SA"/>
        </w:rPr>
        <w:t>.</w:t>
      </w:r>
      <w:r>
        <w:rPr>
          <w:lang w:eastAsia="en-AU" w:bidi="ar-SA"/>
        </w:rPr>
        <w:t xml:space="preserve"> Standard positive control substances were used, and experiments were conducted with and without S9 mix. Both short-term (6 h) and continuous </w:t>
      </w:r>
      <w:r w:rsidR="00A91461">
        <w:rPr>
          <w:lang w:eastAsia="en-AU" w:bidi="ar-SA"/>
        </w:rPr>
        <w:t>(</w:t>
      </w:r>
      <w:r>
        <w:rPr>
          <w:lang w:eastAsia="en-AU" w:bidi="ar-SA"/>
        </w:rPr>
        <w:t xml:space="preserve">24 or 48 h) exposures were conducted. Cells were processed to slides for examination </w:t>
      </w:r>
      <w:r w:rsidR="00A91461">
        <w:rPr>
          <w:lang w:eastAsia="en-AU" w:bidi="ar-SA"/>
        </w:rPr>
        <w:t xml:space="preserve">of </w:t>
      </w:r>
      <w:r>
        <w:rPr>
          <w:lang w:eastAsia="en-AU" w:bidi="ar-SA"/>
        </w:rPr>
        <w:t>chromosomal aberrations. No cytotoxicity was observed, and there was no increase in frequency of cells with structural or numerical aberrations, in the presence or absence of S9 mix, when compared to negative controls. The positive control substances induced the expected increases in chromosomal aberrations, confirming the validity of the assay.</w:t>
      </w:r>
    </w:p>
    <w:p w14:paraId="6B5ADB81" w14:textId="77777777" w:rsidR="006B0880" w:rsidRDefault="006B0880" w:rsidP="006B0880">
      <w:pPr>
        <w:rPr>
          <w:lang w:eastAsia="en-AU" w:bidi="ar-SA"/>
        </w:rPr>
      </w:pPr>
    </w:p>
    <w:p w14:paraId="17A3DBE7" w14:textId="245F7734" w:rsidR="006B0880" w:rsidRDefault="006B0880" w:rsidP="006B0880">
      <w:pPr>
        <w:rPr>
          <w:lang w:eastAsia="en-AU" w:bidi="ar-SA"/>
        </w:rPr>
      </w:pPr>
      <w:r>
        <w:rPr>
          <w:lang w:eastAsia="en-AU" w:bidi="ar-SA"/>
        </w:rPr>
        <w:t xml:space="preserve">The bone marrow micronucleus assay was conducted in 8 week old male ICR mice. The paper does not specify how many mice were assigned to each group. The OECD guideline for this assay states that each group should contain at least 5 animals. DAG was suspended in olive oil to doses of 500, 1000 and 2000 mg/kg bw and administered by gavage twice, with 24 h between gavages, while control mice were treated with olive oil. Mice in a positive control group were treated once by intraperitoneal injection of cyclophosphamide at 40 mg/kg bw. Bone marrow smears were prepared 24 h after the last administration. Administration of DAG was not associated with any significant increase in micronucleated polychromatic erythrocytes (MNPCEs) when compared to negative controls. The PCE/NCE (polychromatic erythrocyte/normochromatic erythrocyte) ratio was comparable to that of negative controls for mice treated with </w:t>
      </w:r>
      <w:r>
        <w:rPr>
          <w:rFonts w:cs="Arial"/>
          <w:lang w:eastAsia="en-AU" w:bidi="ar-SA"/>
        </w:rPr>
        <w:t>≤</w:t>
      </w:r>
      <w:r>
        <w:rPr>
          <w:lang w:eastAsia="en-AU" w:bidi="ar-SA"/>
        </w:rPr>
        <w:t xml:space="preserve">1000 mg/kg bw but was slightly decreased in mice treated with 2000 mg/kg bw. This </w:t>
      </w:r>
      <w:r w:rsidR="009D692A">
        <w:rPr>
          <w:lang w:eastAsia="en-AU" w:bidi="ar-SA"/>
        </w:rPr>
        <w:t>de</w:t>
      </w:r>
      <w:r>
        <w:rPr>
          <w:lang w:eastAsia="en-AU" w:bidi="ar-SA"/>
        </w:rPr>
        <w:t>crease in the group mean value was attributed to intragroup variability, in that one animal was a significant outlier. The positive control substance, cyclophosphamide, induced a marked increase in incidence of MNPCEs, confirming the validity of the assay.</w:t>
      </w:r>
    </w:p>
    <w:p w14:paraId="0437E019" w14:textId="77777777" w:rsidR="006B0880" w:rsidRDefault="006B0880" w:rsidP="006B0880">
      <w:pPr>
        <w:rPr>
          <w:lang w:eastAsia="en-AU" w:bidi="ar-SA"/>
        </w:rPr>
      </w:pPr>
    </w:p>
    <w:p w14:paraId="5B03C5C2" w14:textId="14C711CC" w:rsidR="006B0880" w:rsidRDefault="006B0880" w:rsidP="005F4438">
      <w:pPr>
        <w:rPr>
          <w:lang w:eastAsia="en-AU" w:bidi="ar-SA"/>
        </w:rPr>
      </w:pPr>
      <w:r>
        <w:rPr>
          <w:lang w:eastAsia="en-AU" w:bidi="ar-SA"/>
        </w:rPr>
        <w:t>It was concluded on the basis of this battery of genotoxicity assays that DAG does not exhibit genotoxicity.</w:t>
      </w:r>
    </w:p>
    <w:p w14:paraId="340280F9" w14:textId="751D411C" w:rsidR="009D692A" w:rsidRDefault="009D692A" w:rsidP="005F4438">
      <w:pPr>
        <w:rPr>
          <w:lang w:eastAsia="en-AU" w:bidi="ar-SA"/>
        </w:rPr>
      </w:pPr>
    </w:p>
    <w:p w14:paraId="7E57C0AF" w14:textId="11A123CC" w:rsidR="009D692A" w:rsidRDefault="009D692A" w:rsidP="005F4438">
      <w:pPr>
        <w:rPr>
          <w:lang w:eastAsia="en-AU" w:bidi="ar-SA"/>
        </w:rPr>
      </w:pPr>
      <w:r>
        <w:rPr>
          <w:lang w:eastAsia="en-AU" w:bidi="ar-SA"/>
        </w:rPr>
        <w:t>No genotoxicity assays of monoglycerides were located.</w:t>
      </w:r>
    </w:p>
    <w:p w14:paraId="0BDEA928" w14:textId="77777777" w:rsidR="00EE79AB" w:rsidRPr="00EE79AB" w:rsidRDefault="00EE79AB" w:rsidP="00EE79AB">
      <w:pPr>
        <w:rPr>
          <w:lang w:eastAsia="en-AU" w:bidi="ar-SA"/>
        </w:rPr>
      </w:pPr>
    </w:p>
    <w:p w14:paraId="18CD37A3" w14:textId="52EEB0F8" w:rsidR="005F4438" w:rsidRDefault="0042368D" w:rsidP="005F4FEF">
      <w:pPr>
        <w:pStyle w:val="Heading4"/>
        <w:rPr>
          <w:lang w:eastAsia="en-AU"/>
        </w:rPr>
      </w:pPr>
      <w:bookmarkStart w:id="67" w:name="_Toc42849609"/>
      <w:r>
        <w:rPr>
          <w:lang w:eastAsia="en-AU"/>
        </w:rPr>
        <w:lastRenderedPageBreak/>
        <w:t>3.</w:t>
      </w:r>
      <w:r w:rsidR="00812B3E">
        <w:rPr>
          <w:lang w:eastAsia="en-AU"/>
        </w:rPr>
        <w:t>3.1.5</w:t>
      </w:r>
      <w:r>
        <w:rPr>
          <w:lang w:eastAsia="en-AU"/>
        </w:rPr>
        <w:tab/>
      </w:r>
      <w:r w:rsidR="00812B3E">
        <w:rPr>
          <w:lang w:eastAsia="en-AU"/>
        </w:rPr>
        <w:t>Developmental and r</w:t>
      </w:r>
      <w:r>
        <w:rPr>
          <w:lang w:eastAsia="en-AU"/>
        </w:rPr>
        <w:t>eproductive studies</w:t>
      </w:r>
      <w:bookmarkEnd w:id="67"/>
    </w:p>
    <w:p w14:paraId="3B9E5BC5" w14:textId="77777777" w:rsidR="00A240A7" w:rsidRPr="007316FA" w:rsidRDefault="00A240A7" w:rsidP="00A240A7">
      <w:pPr>
        <w:rPr>
          <w:i/>
          <w:lang w:eastAsia="en-AU" w:bidi="ar-SA"/>
        </w:rPr>
      </w:pPr>
      <w:r w:rsidRPr="007316FA">
        <w:rPr>
          <w:i/>
          <w:lang w:eastAsia="en-AU" w:bidi="ar-SA"/>
        </w:rPr>
        <w:t xml:space="preserve">Two-generation reproductive toxicity study of diacylglycerol oil in </w:t>
      </w:r>
      <w:r>
        <w:rPr>
          <w:i/>
          <w:lang w:eastAsia="en-AU" w:bidi="ar-SA"/>
        </w:rPr>
        <w:t xml:space="preserve">Sprague Dawley </w:t>
      </w:r>
      <w:r w:rsidRPr="007316FA">
        <w:rPr>
          <w:i/>
          <w:lang w:eastAsia="en-AU" w:bidi="ar-SA"/>
        </w:rPr>
        <w:t xml:space="preserve">rats (Morita et al 2008b). Regulatory status: GLP, conducted in general accordance with US-FDA Proposed Redbook 2000 guidelines. </w:t>
      </w:r>
    </w:p>
    <w:p w14:paraId="45335621" w14:textId="77777777" w:rsidR="00A240A7" w:rsidRDefault="00A240A7" w:rsidP="00A240A7">
      <w:pPr>
        <w:rPr>
          <w:lang w:eastAsia="en-AU" w:bidi="ar-SA"/>
        </w:rPr>
      </w:pPr>
    </w:p>
    <w:p w14:paraId="5D7C075A" w14:textId="71034987" w:rsidR="00A240A7" w:rsidRDefault="00A240A7" w:rsidP="00A240A7">
      <w:pPr>
        <w:rPr>
          <w:lang w:eastAsia="en-AU" w:bidi="ar-SA"/>
        </w:rPr>
      </w:pPr>
      <w:r>
        <w:rPr>
          <w:lang w:eastAsia="en-AU" w:bidi="ar-SA"/>
        </w:rPr>
        <w:t>The test article for this study was prepared from rapeseed oil and soybean oil, and comprised &gt;86% DAG, and was administered daily by gavage at dose levels of 0, 1.25, 2.5 or 5 mL/kg</w:t>
      </w:r>
      <w:r w:rsidR="00FA255E">
        <w:rPr>
          <w:lang w:eastAsia="en-AU" w:bidi="ar-SA"/>
        </w:rPr>
        <w:t xml:space="preserve"> bw/</w:t>
      </w:r>
      <w:r>
        <w:rPr>
          <w:lang w:eastAsia="en-AU" w:bidi="ar-SA"/>
        </w:rPr>
        <w:t>day. An additional group was administered a triacylglycerol (TAG) oil containing &gt;91% TAG, at 5 mL/kg</w:t>
      </w:r>
      <w:r w:rsidR="00FA255E">
        <w:rPr>
          <w:lang w:eastAsia="en-AU" w:bidi="ar-SA"/>
        </w:rPr>
        <w:t xml:space="preserve"> bw</w:t>
      </w:r>
      <w:r>
        <w:rPr>
          <w:lang w:eastAsia="en-AU" w:bidi="ar-SA"/>
        </w:rPr>
        <w:t>/day. The control group were administered corn oil which was &gt;95% triglycerides</w:t>
      </w:r>
      <w:r w:rsidR="00247479">
        <w:rPr>
          <w:lang w:eastAsia="en-AU" w:bidi="ar-SA"/>
        </w:rPr>
        <w:t>,</w:t>
      </w:r>
      <w:r>
        <w:rPr>
          <w:lang w:eastAsia="en-AU" w:bidi="ar-SA"/>
        </w:rPr>
        <w:t xml:space="preserve"> at 5 mL/kg</w:t>
      </w:r>
      <w:r w:rsidR="00FA255E">
        <w:rPr>
          <w:lang w:eastAsia="en-AU" w:bidi="ar-SA"/>
        </w:rPr>
        <w:t xml:space="preserve"> bw</w:t>
      </w:r>
      <w:r>
        <w:rPr>
          <w:lang w:eastAsia="en-AU" w:bidi="ar-SA"/>
        </w:rPr>
        <w:t>/day. Corn oil was also used to make up the volume of oil administered to rats dosed with 1.25 or 2.5 mL/kg</w:t>
      </w:r>
      <w:r w:rsidR="00FA255E">
        <w:rPr>
          <w:lang w:eastAsia="en-AU" w:bidi="ar-SA"/>
        </w:rPr>
        <w:t xml:space="preserve"> bw</w:t>
      </w:r>
      <w:r>
        <w:rPr>
          <w:lang w:eastAsia="en-AU" w:bidi="ar-SA"/>
        </w:rPr>
        <w:t xml:space="preserve">/day DAG. </w:t>
      </w:r>
    </w:p>
    <w:p w14:paraId="7A32FFF4" w14:textId="77777777" w:rsidR="00A240A7" w:rsidRDefault="00A240A7" w:rsidP="00A240A7">
      <w:pPr>
        <w:rPr>
          <w:lang w:eastAsia="en-AU" w:bidi="ar-SA"/>
        </w:rPr>
      </w:pPr>
    </w:p>
    <w:p w14:paraId="119221F0" w14:textId="3567D05E" w:rsidR="00A240A7" w:rsidRDefault="00A240A7" w:rsidP="00A240A7">
      <w:pPr>
        <w:rPr>
          <w:lang w:eastAsia="en-AU" w:bidi="ar-SA"/>
        </w:rPr>
      </w:pPr>
      <w:r>
        <w:rPr>
          <w:lang w:eastAsia="en-AU" w:bidi="ar-SA"/>
        </w:rPr>
        <w:t xml:space="preserve">Rats, 30/sex/group, were individually housed, except during mating, under standard laboratory environmental and husbandry conditions, and food and water were provided </w:t>
      </w:r>
      <w:r w:rsidRPr="00C9478E">
        <w:rPr>
          <w:i/>
          <w:lang w:eastAsia="en-AU" w:bidi="ar-SA"/>
        </w:rPr>
        <w:t>ad libitum</w:t>
      </w:r>
      <w:r>
        <w:rPr>
          <w:lang w:eastAsia="en-AU" w:bidi="ar-SA"/>
        </w:rPr>
        <w:t xml:space="preserve">. Both male and female rats were dosed for at least 70 days prior to mating. Rats were subject to cageside observations daily, except during the period of expected parturition, when females were observed twice daily. Body weights and food consumption were measured at least weekly, although during pregnancy and lactation, body weights and food consumption were recorded on gestation days (GDs) 0, 4, 7, 11, 14 and 20, and lactation days (LDs) 1, 4, 7, 14 and 21. At parturition, litters were sexed, pups were examined and the numbers of live and dead pups were recorded. Litters were culled to 8 pups (4/sex, if possible) on postnatal day (PND) 4. Pup survival was monitored daily and each pup was weighed and given a detailed physical examination on PNDs 1, 4, 7, 14 and 21. Pups that died before weaning were necropsied. The F1 generation also comprised 30 rats/sex/group, using at least one pup/sex/litter. Gavaging of the F1 generation commenced on PND 22. Selected male pups were examined for balanopreputial separation from PND 35 and selected </w:t>
      </w:r>
      <w:r w:rsidR="009B5607">
        <w:rPr>
          <w:lang w:eastAsia="en-AU" w:bidi="ar-SA"/>
        </w:rPr>
        <w:t>fe</w:t>
      </w:r>
      <w:r>
        <w:rPr>
          <w:lang w:eastAsia="en-AU" w:bidi="ar-SA"/>
        </w:rPr>
        <w:t>male pups were examined for vaginal patency from PND 25. F</w:t>
      </w:r>
      <w:r>
        <w:rPr>
          <w:vertAlign w:val="subscript"/>
          <w:lang w:eastAsia="en-AU" w:bidi="ar-SA"/>
        </w:rPr>
        <w:t>0</w:t>
      </w:r>
      <w:r>
        <w:rPr>
          <w:lang w:eastAsia="en-AU" w:bidi="ar-SA"/>
        </w:rPr>
        <w:t xml:space="preserve"> and F</w:t>
      </w:r>
      <w:r>
        <w:rPr>
          <w:vertAlign w:val="subscript"/>
          <w:lang w:eastAsia="en-AU" w:bidi="ar-SA"/>
        </w:rPr>
        <w:t xml:space="preserve">1 </w:t>
      </w:r>
      <w:r>
        <w:rPr>
          <w:lang w:eastAsia="en-AU" w:bidi="ar-SA"/>
        </w:rPr>
        <w:t xml:space="preserve">males were subject to spermatogenic evaluations, including numbers and morphology, at </w:t>
      </w:r>
      <w:r w:rsidR="009B5607">
        <w:rPr>
          <w:lang w:eastAsia="en-AU" w:bidi="ar-SA"/>
        </w:rPr>
        <w:t>termination</w:t>
      </w:r>
      <w:r>
        <w:rPr>
          <w:lang w:eastAsia="en-AU" w:bidi="ar-SA"/>
        </w:rPr>
        <w:t>, which was done at the time that their pups were weaned. F</w:t>
      </w:r>
      <w:r>
        <w:rPr>
          <w:vertAlign w:val="subscript"/>
          <w:lang w:eastAsia="en-AU" w:bidi="ar-SA"/>
        </w:rPr>
        <w:t>0</w:t>
      </w:r>
      <w:r>
        <w:rPr>
          <w:lang w:eastAsia="en-AU" w:bidi="ar-SA"/>
        </w:rPr>
        <w:t xml:space="preserve"> and F</w:t>
      </w:r>
      <w:r>
        <w:rPr>
          <w:vertAlign w:val="subscript"/>
          <w:lang w:eastAsia="en-AU" w:bidi="ar-SA"/>
        </w:rPr>
        <w:t>1</w:t>
      </w:r>
      <w:r>
        <w:rPr>
          <w:lang w:eastAsia="en-AU" w:bidi="ar-SA"/>
        </w:rPr>
        <w:t xml:space="preserve"> females were also </w:t>
      </w:r>
      <w:r w:rsidR="009B5607">
        <w:rPr>
          <w:lang w:eastAsia="en-AU" w:bidi="ar-SA"/>
        </w:rPr>
        <w:t xml:space="preserve">killed </w:t>
      </w:r>
      <w:r>
        <w:rPr>
          <w:lang w:eastAsia="en-AU" w:bidi="ar-SA"/>
        </w:rPr>
        <w:t>at weaning of their pups. All F</w:t>
      </w:r>
      <w:r>
        <w:rPr>
          <w:vertAlign w:val="subscript"/>
          <w:lang w:eastAsia="en-AU" w:bidi="ar-SA"/>
        </w:rPr>
        <w:t xml:space="preserve">1 </w:t>
      </w:r>
      <w:r>
        <w:rPr>
          <w:lang w:eastAsia="en-AU" w:bidi="ar-SA"/>
        </w:rPr>
        <w:t>not selected for breeding, and all F</w:t>
      </w:r>
      <w:r>
        <w:rPr>
          <w:vertAlign w:val="subscript"/>
          <w:lang w:eastAsia="en-AU" w:bidi="ar-SA"/>
        </w:rPr>
        <w:t>2</w:t>
      </w:r>
      <w:r>
        <w:rPr>
          <w:lang w:eastAsia="en-AU" w:bidi="ar-SA"/>
        </w:rPr>
        <w:t xml:space="preserve"> pups, were </w:t>
      </w:r>
      <w:r w:rsidR="009B5607">
        <w:rPr>
          <w:lang w:eastAsia="en-AU" w:bidi="ar-SA"/>
        </w:rPr>
        <w:t xml:space="preserve">killed </w:t>
      </w:r>
      <w:r>
        <w:rPr>
          <w:lang w:eastAsia="en-AU" w:bidi="ar-SA"/>
        </w:rPr>
        <w:t xml:space="preserve">at PND 21. All </w:t>
      </w:r>
      <w:r w:rsidR="009B5607">
        <w:rPr>
          <w:lang w:eastAsia="en-AU" w:bidi="ar-SA"/>
        </w:rPr>
        <w:t xml:space="preserve">killed </w:t>
      </w:r>
      <w:r>
        <w:rPr>
          <w:lang w:eastAsia="en-AU" w:bidi="ar-SA"/>
        </w:rPr>
        <w:t>animals were subject to gross necropsy. Adrenal glands, brain, cervix, coagulating glands, epididymis, kidneys, liver, ovaries, oviducts, pituitary gland, prostate, seminal vesicles, spleen, testis, thymus, uterus, vagin</w:t>
      </w:r>
      <w:r w:rsidR="000F292C">
        <w:rPr>
          <w:lang w:eastAsia="en-AU" w:bidi="ar-SA"/>
        </w:rPr>
        <w:t>a</w:t>
      </w:r>
      <w:r>
        <w:rPr>
          <w:lang w:eastAsia="en-AU" w:bidi="ar-SA"/>
        </w:rPr>
        <w:t xml:space="preserve">, vas deferens, as appropriate for sex, and all gross lesions, were preserved for histopathological examination. </w:t>
      </w:r>
    </w:p>
    <w:p w14:paraId="2E2CB60D" w14:textId="77777777" w:rsidR="00A240A7" w:rsidRDefault="00A240A7" w:rsidP="00A240A7">
      <w:pPr>
        <w:rPr>
          <w:lang w:eastAsia="en-AU" w:bidi="ar-SA"/>
        </w:rPr>
      </w:pPr>
    </w:p>
    <w:p w14:paraId="0450DD9A" w14:textId="31F88586" w:rsidR="00A240A7" w:rsidRPr="000247E5" w:rsidRDefault="00A240A7" w:rsidP="00A240A7">
      <w:pPr>
        <w:rPr>
          <w:lang w:eastAsia="en-AU" w:bidi="ar-SA"/>
        </w:rPr>
      </w:pPr>
      <w:r>
        <w:rPr>
          <w:lang w:eastAsia="en-AU" w:bidi="ar-SA"/>
        </w:rPr>
        <w:t xml:space="preserve">A small number of animals did not survive to scheduled </w:t>
      </w:r>
      <w:r w:rsidR="009B5607">
        <w:rPr>
          <w:lang w:eastAsia="en-AU" w:bidi="ar-SA"/>
        </w:rPr>
        <w:t>termination</w:t>
      </w:r>
      <w:r>
        <w:rPr>
          <w:lang w:eastAsia="en-AU" w:bidi="ar-SA"/>
        </w:rPr>
        <w:t xml:space="preserve">, but these deaths did not show a dose-response relationship. Unscheduled deaths included </w:t>
      </w:r>
      <w:r>
        <w:rPr>
          <w:lang w:eastAsia="en-AU" w:bidi="ar-SA"/>
        </w:rPr>
        <w:lastRenderedPageBreak/>
        <w:t>one male and one female F</w:t>
      </w:r>
      <w:r>
        <w:rPr>
          <w:vertAlign w:val="subscript"/>
          <w:lang w:eastAsia="en-AU" w:bidi="ar-SA"/>
        </w:rPr>
        <w:t xml:space="preserve">0 </w:t>
      </w:r>
      <w:r>
        <w:rPr>
          <w:lang w:eastAsia="en-AU" w:bidi="ar-SA"/>
        </w:rPr>
        <w:t>rat in the 50% DAG group; one F</w:t>
      </w:r>
      <w:r>
        <w:rPr>
          <w:vertAlign w:val="subscript"/>
          <w:lang w:eastAsia="en-AU" w:bidi="ar-SA"/>
        </w:rPr>
        <w:t xml:space="preserve">1 </w:t>
      </w:r>
      <w:r w:rsidRPr="004C537D">
        <w:rPr>
          <w:lang w:eastAsia="en-AU" w:bidi="ar-SA"/>
        </w:rPr>
        <w:t>male in each of the 50% DAG and 100% TAG</w:t>
      </w:r>
      <w:r>
        <w:rPr>
          <w:lang w:eastAsia="en-AU" w:bidi="ar-SA"/>
        </w:rPr>
        <w:t xml:space="preserve"> groups; two F</w:t>
      </w:r>
      <w:r>
        <w:rPr>
          <w:vertAlign w:val="subscript"/>
          <w:lang w:eastAsia="en-AU" w:bidi="ar-SA"/>
        </w:rPr>
        <w:t>1</w:t>
      </w:r>
      <w:r>
        <w:rPr>
          <w:lang w:eastAsia="en-AU" w:bidi="ar-SA"/>
        </w:rPr>
        <w:t xml:space="preserve"> female</w:t>
      </w:r>
      <w:r w:rsidR="009B5607">
        <w:rPr>
          <w:lang w:eastAsia="en-AU" w:bidi="ar-SA"/>
        </w:rPr>
        <w:t>s</w:t>
      </w:r>
      <w:r>
        <w:rPr>
          <w:lang w:eastAsia="en-AU" w:bidi="ar-SA"/>
        </w:rPr>
        <w:t xml:space="preserve"> in the 25% DAG group; and two F</w:t>
      </w:r>
      <w:r>
        <w:rPr>
          <w:vertAlign w:val="subscript"/>
          <w:lang w:eastAsia="en-AU" w:bidi="ar-SA"/>
        </w:rPr>
        <w:t>1</w:t>
      </w:r>
      <w:r>
        <w:rPr>
          <w:lang w:eastAsia="en-AU" w:bidi="ar-SA"/>
        </w:rPr>
        <w:t xml:space="preserve"> males in and one F</w:t>
      </w:r>
      <w:r>
        <w:rPr>
          <w:vertAlign w:val="subscript"/>
          <w:lang w:eastAsia="en-AU" w:bidi="ar-SA"/>
        </w:rPr>
        <w:t>1</w:t>
      </w:r>
      <w:r>
        <w:rPr>
          <w:lang w:eastAsia="en-AU" w:bidi="ar-SA"/>
        </w:rPr>
        <w:t xml:space="preserve"> female in the 0% DAG group. No treatment-related clinical signs were observed in any rats that survived to scheduled </w:t>
      </w:r>
      <w:r w:rsidR="009B5607">
        <w:rPr>
          <w:lang w:eastAsia="en-AU" w:bidi="ar-SA"/>
        </w:rPr>
        <w:t>termination</w:t>
      </w:r>
      <w:r>
        <w:rPr>
          <w:lang w:eastAsia="en-AU" w:bidi="ar-SA"/>
        </w:rPr>
        <w:t>. There were no treatment-related effects of DAG oil on body weights, body weight gains, food consumption, or feed efficiency. Treatment with TAG oil was associated with significantly lower group mean bodyweights in F</w:t>
      </w:r>
      <w:r>
        <w:rPr>
          <w:vertAlign w:val="subscript"/>
          <w:lang w:eastAsia="en-AU" w:bidi="ar-SA"/>
        </w:rPr>
        <w:t>0</w:t>
      </w:r>
      <w:r>
        <w:rPr>
          <w:lang w:eastAsia="en-AU" w:bidi="ar-SA"/>
        </w:rPr>
        <w:t xml:space="preserve"> and F</w:t>
      </w:r>
      <w:r>
        <w:rPr>
          <w:vertAlign w:val="subscript"/>
          <w:lang w:eastAsia="en-AU" w:bidi="ar-SA"/>
        </w:rPr>
        <w:t>1</w:t>
      </w:r>
      <w:r>
        <w:rPr>
          <w:lang w:eastAsia="en-AU" w:bidi="ar-SA"/>
        </w:rPr>
        <w:t xml:space="preserve"> males, but there was no corresponding effect in females. There were no gross or microscopic findings related to treatment with DAG oil or TAG oil, and no treatment-related effects on organ weights, primordial follicles in females, spermatogenic assessment parameters, reproductive performance parameters, litter parameters, pup viability, pup growth, balanopreputial separation or vaginal patency. The authors concluded that the highest dose level of DAG oil, 5.0 mL/kg/day, was the NOAEL for systemic, reproductive and neonatal toxicity. This dose level is equivalent to 4630 mg/kg bw/day. </w:t>
      </w:r>
    </w:p>
    <w:p w14:paraId="2D521E5C" w14:textId="6304E96C" w:rsidR="00A240A7" w:rsidRDefault="00A240A7" w:rsidP="00A240A7">
      <w:pPr>
        <w:rPr>
          <w:lang w:eastAsia="en-AU" w:bidi="ar-SA"/>
        </w:rPr>
      </w:pPr>
    </w:p>
    <w:p w14:paraId="4E7BC72C" w14:textId="201FE710" w:rsidR="00387CFD" w:rsidRDefault="00387CFD" w:rsidP="00A240A7">
      <w:pPr>
        <w:rPr>
          <w:lang w:eastAsia="en-AU" w:bidi="ar-SA"/>
        </w:rPr>
      </w:pPr>
    </w:p>
    <w:p w14:paraId="209A965F" w14:textId="52D87F8C" w:rsidR="0058513F" w:rsidRDefault="0058513F" w:rsidP="0058513F">
      <w:pPr>
        <w:rPr>
          <w:i/>
          <w:lang w:eastAsia="en-AU" w:bidi="ar-SA"/>
        </w:rPr>
      </w:pPr>
      <w:r w:rsidRPr="00480E02">
        <w:rPr>
          <w:i/>
          <w:lang w:eastAsia="en-AU" w:bidi="ar-SA"/>
        </w:rPr>
        <w:t>Developmental toxicity study of diacylglycerol oil in Sprague Dawley rats (Morita et al 2008c). Regulatory status: GLP, conducted in accordance with MHLW guidelines and</w:t>
      </w:r>
      <w:r w:rsidR="00B7274A">
        <w:rPr>
          <w:i/>
          <w:lang w:eastAsia="en-AU" w:bidi="ar-SA"/>
        </w:rPr>
        <w:t xml:space="preserve"> </w:t>
      </w:r>
      <w:r w:rsidR="0022487D">
        <w:rPr>
          <w:i/>
          <w:lang w:eastAsia="en-AU" w:bidi="ar-SA"/>
        </w:rPr>
        <w:t xml:space="preserve">stated </w:t>
      </w:r>
      <w:r w:rsidR="00B7274A">
        <w:rPr>
          <w:i/>
          <w:lang w:eastAsia="en-AU" w:bidi="ar-SA"/>
        </w:rPr>
        <w:t>to be</w:t>
      </w:r>
      <w:r w:rsidRPr="00480E02">
        <w:rPr>
          <w:i/>
          <w:lang w:eastAsia="en-AU" w:bidi="ar-SA"/>
        </w:rPr>
        <w:t xml:space="preserve"> in general accordance with ICH guideline</w:t>
      </w:r>
      <w:r w:rsidR="009D692A">
        <w:rPr>
          <w:i/>
          <w:lang w:eastAsia="en-AU" w:bidi="ar-SA"/>
        </w:rPr>
        <w:t>s</w:t>
      </w:r>
      <w:r w:rsidR="0022487D">
        <w:rPr>
          <w:i/>
          <w:lang w:eastAsia="en-AU" w:bidi="ar-SA"/>
        </w:rPr>
        <w:t xml:space="preserve"> though these were not specified</w:t>
      </w:r>
      <w:r w:rsidRPr="00480E02">
        <w:rPr>
          <w:i/>
          <w:lang w:eastAsia="en-AU" w:bidi="ar-SA"/>
        </w:rPr>
        <w:t>.</w:t>
      </w:r>
    </w:p>
    <w:p w14:paraId="65877999" w14:textId="77777777" w:rsidR="0058513F" w:rsidRDefault="0058513F" w:rsidP="0058513F">
      <w:pPr>
        <w:rPr>
          <w:i/>
          <w:lang w:eastAsia="en-AU" w:bidi="ar-SA"/>
        </w:rPr>
      </w:pPr>
    </w:p>
    <w:p w14:paraId="1950E08A" w14:textId="17F69244" w:rsidR="0058513F" w:rsidRDefault="0058513F" w:rsidP="0058513F">
      <w:pPr>
        <w:rPr>
          <w:lang w:eastAsia="en-AU" w:bidi="ar-SA"/>
        </w:rPr>
      </w:pPr>
      <w:r>
        <w:rPr>
          <w:lang w:eastAsia="en-AU" w:bidi="ar-SA"/>
        </w:rPr>
        <w:t>The test article for this study was the same as that used in the two-generation reproductive toxicity study summarized above. The control article was corn oil. Rats, 25 females/group, were dosed on gestation days (GDs) 6 to 17 inclusive at a fixed volume of 5 mL/kg</w:t>
      </w:r>
      <w:r w:rsidR="00EA6FF8">
        <w:rPr>
          <w:lang w:eastAsia="en-AU" w:bidi="ar-SA"/>
        </w:rPr>
        <w:t xml:space="preserve"> bw/day</w:t>
      </w:r>
      <w:r>
        <w:rPr>
          <w:lang w:eastAsia="en-AU" w:bidi="ar-SA"/>
        </w:rPr>
        <w:t>, with dose levels of 0, 1.25, 2.5 or 5 mL</w:t>
      </w:r>
      <w:r w:rsidR="00EA6FF8">
        <w:rPr>
          <w:lang w:eastAsia="en-AU" w:bidi="ar-SA"/>
        </w:rPr>
        <w:t>/kg bw/day</w:t>
      </w:r>
      <w:r>
        <w:rPr>
          <w:lang w:eastAsia="en-AU" w:bidi="ar-SA"/>
        </w:rPr>
        <w:t xml:space="preserve"> DAG, with the balance of the volume being corn oil. Rats were 70 days old at time of receipt and were acclimatized to standard laboratory environmental and husbandry conditions for 13 days prior to mating with resident male rats. During pregnancy, females were housed individually. Food and water were provided </w:t>
      </w:r>
      <w:r w:rsidRPr="003574E3">
        <w:rPr>
          <w:i/>
          <w:lang w:eastAsia="en-AU" w:bidi="ar-SA"/>
        </w:rPr>
        <w:t>ad libitum.</w:t>
      </w:r>
      <w:r>
        <w:rPr>
          <w:i/>
          <w:lang w:eastAsia="en-AU" w:bidi="ar-SA"/>
        </w:rPr>
        <w:t xml:space="preserve"> </w:t>
      </w:r>
      <w:r>
        <w:rPr>
          <w:lang w:eastAsia="en-AU" w:bidi="ar-SA"/>
        </w:rPr>
        <w:t xml:space="preserve">They were observed for mortality and moribundity twice daily, and cageside clinical observations were made prior to dosing and one hour after dosing. Individual body weights were recorded daily from GDs 6 to 18 inclusive, and also on GDs 0 and 20. Rats were </w:t>
      </w:r>
      <w:r w:rsidR="0008089A">
        <w:rPr>
          <w:lang w:eastAsia="en-AU" w:bidi="ar-SA"/>
        </w:rPr>
        <w:t xml:space="preserve">killed </w:t>
      </w:r>
      <w:r>
        <w:rPr>
          <w:lang w:eastAsia="en-AU" w:bidi="ar-SA"/>
        </w:rPr>
        <w:t xml:space="preserve">on GD 20. Following </w:t>
      </w:r>
      <w:r w:rsidR="0089119F">
        <w:rPr>
          <w:lang w:eastAsia="en-AU" w:bidi="ar-SA"/>
        </w:rPr>
        <w:t>termination</w:t>
      </w:r>
      <w:r>
        <w:rPr>
          <w:lang w:eastAsia="en-AU" w:bidi="ar-SA"/>
        </w:rPr>
        <w:t xml:space="preserve">, gravid uterus weight and net body weight were recorded, as well as number of corpora lutea, number of implantation sites, number and location of fetuses, and late and early resorptions. Uteri with no gross evidence of implantation were placed in 10% ammonium sulphide for detection of early embryonic loss. Live fetuses were examined, weighed, sexed and then </w:t>
      </w:r>
      <w:r w:rsidR="0089119F">
        <w:rPr>
          <w:lang w:eastAsia="en-AU" w:bidi="ar-SA"/>
        </w:rPr>
        <w:t xml:space="preserve">killed </w:t>
      </w:r>
      <w:r>
        <w:rPr>
          <w:lang w:eastAsia="en-AU" w:bidi="ar-SA"/>
        </w:rPr>
        <w:t xml:space="preserve">and necropsied with particular attention to the heart and major blood vessels. Heads of approximately half the fetuses were preserved for dissection while the heads of the remaining fetuses were examined by mid-coronal slice. All fetal carcasses were eviscerated and preserved for examination of skeletons using Alizarin </w:t>
      </w:r>
      <w:r>
        <w:rPr>
          <w:lang w:eastAsia="en-AU" w:bidi="ar-SA"/>
        </w:rPr>
        <w:lastRenderedPageBreak/>
        <w:t xml:space="preserve">Red. </w:t>
      </w:r>
    </w:p>
    <w:p w14:paraId="4EC2CE92" w14:textId="77777777" w:rsidR="0058513F" w:rsidRDefault="0058513F" w:rsidP="0058513F">
      <w:pPr>
        <w:rPr>
          <w:lang w:eastAsia="en-AU" w:bidi="ar-SA"/>
        </w:rPr>
      </w:pPr>
    </w:p>
    <w:p w14:paraId="227B98F9" w14:textId="4531A81D" w:rsidR="0058513F" w:rsidRDefault="0058513F" w:rsidP="0058513F">
      <w:pPr>
        <w:rPr>
          <w:lang w:eastAsia="en-AU" w:bidi="ar-SA"/>
        </w:rPr>
      </w:pPr>
      <w:r>
        <w:rPr>
          <w:lang w:eastAsia="en-AU" w:bidi="ar-SA"/>
        </w:rPr>
        <w:t xml:space="preserve">All females survived </w:t>
      </w:r>
      <w:r w:rsidR="0089119F">
        <w:rPr>
          <w:lang w:eastAsia="en-AU" w:bidi="ar-SA"/>
        </w:rPr>
        <w:t>until</w:t>
      </w:r>
      <w:r>
        <w:rPr>
          <w:lang w:eastAsia="en-AU" w:bidi="ar-SA"/>
        </w:rPr>
        <w:t xml:space="preserve"> scheduled </w:t>
      </w:r>
      <w:r w:rsidR="0089119F">
        <w:rPr>
          <w:lang w:eastAsia="en-AU" w:bidi="ar-SA"/>
        </w:rPr>
        <w:t>death</w:t>
      </w:r>
      <w:r>
        <w:rPr>
          <w:lang w:eastAsia="en-AU" w:bidi="ar-SA"/>
        </w:rPr>
        <w:t>. There were no treatment-related effects on maternal clinical signs, body weights, body weight gains, net body weights, or food consumption. Treatment with DAG had no effects on intrauterine growth, numbers of corpora lutea, numbers of implantation sites, numbers of viable fetuses, mean fetal weights, rates of preimplantation loss, numbers of resorptions, or fetal sex ratios. The numbers of fetuses available for examination were very similar between the dose groups. Treatment had no effect on rates of fetal malformation, which were low in all groups, within historical control ranges, and considered to be spontaneous in nature. It was concluded that the highest dose administered, 5 mL/kg bw/day</w:t>
      </w:r>
      <w:r w:rsidR="00C071A9">
        <w:rPr>
          <w:lang w:eastAsia="en-AU" w:bidi="ar-SA"/>
        </w:rPr>
        <w:t xml:space="preserve"> DAG</w:t>
      </w:r>
      <w:r>
        <w:rPr>
          <w:lang w:eastAsia="en-AU" w:bidi="ar-SA"/>
        </w:rPr>
        <w:t xml:space="preserve">, equivalent to 4630 mg/kg bw/day, was the NOAEL for both maternal and fetal toxicity. A maternal maximum tolerated dose could not be identified. </w:t>
      </w:r>
    </w:p>
    <w:p w14:paraId="056141B4" w14:textId="577865EE" w:rsidR="00104BBC" w:rsidRDefault="00104BBC" w:rsidP="0058513F">
      <w:pPr>
        <w:rPr>
          <w:lang w:eastAsia="en-AU" w:bidi="ar-SA"/>
        </w:rPr>
      </w:pPr>
    </w:p>
    <w:p w14:paraId="40EB2D6F" w14:textId="184D908C" w:rsidR="00104BBC" w:rsidRDefault="00104BBC" w:rsidP="0058513F">
      <w:pPr>
        <w:rPr>
          <w:lang w:eastAsia="en-AU" w:bidi="ar-SA"/>
        </w:rPr>
      </w:pPr>
      <w:r>
        <w:rPr>
          <w:lang w:eastAsia="en-AU" w:bidi="ar-SA"/>
        </w:rPr>
        <w:t xml:space="preserve">No reproductive or developmental studies of monoglycerides were submitted or located by literature search. </w:t>
      </w:r>
    </w:p>
    <w:p w14:paraId="72AEFE08" w14:textId="1F987F3D" w:rsidR="00874B2E" w:rsidRDefault="00874B2E" w:rsidP="0058513F">
      <w:pPr>
        <w:rPr>
          <w:lang w:eastAsia="en-AU" w:bidi="ar-SA"/>
        </w:rPr>
      </w:pPr>
    </w:p>
    <w:p w14:paraId="048D49E9" w14:textId="77777777" w:rsidR="00812B3E" w:rsidRDefault="00812B3E" w:rsidP="005F4FEF">
      <w:pPr>
        <w:pStyle w:val="Heading4"/>
      </w:pPr>
      <w:r>
        <w:t>3.3.1.6</w:t>
      </w:r>
      <w:r>
        <w:tab/>
        <w:t>Other studies in animals</w:t>
      </w:r>
    </w:p>
    <w:p w14:paraId="3B592E83" w14:textId="2773455A" w:rsidR="00812B3E" w:rsidRDefault="00812B3E" w:rsidP="00812B3E">
      <w:pPr>
        <w:rPr>
          <w:i/>
          <w:lang w:eastAsia="en-AU" w:bidi="ar-SA"/>
        </w:rPr>
      </w:pPr>
      <w:r w:rsidRPr="0021688C">
        <w:rPr>
          <w:i/>
          <w:lang w:eastAsia="en-AU" w:bidi="ar-SA"/>
        </w:rPr>
        <w:t xml:space="preserve">One-month study comparing </w:t>
      </w:r>
      <w:r w:rsidR="00C071A9">
        <w:rPr>
          <w:i/>
          <w:lang w:eastAsia="en-AU" w:bidi="ar-SA"/>
        </w:rPr>
        <w:t xml:space="preserve">effects of </w:t>
      </w:r>
      <w:r w:rsidRPr="0021688C">
        <w:rPr>
          <w:i/>
          <w:lang w:eastAsia="en-AU" w:bidi="ar-SA"/>
        </w:rPr>
        <w:t xml:space="preserve">dietary triacylglycerol oil and diacylglycerol oil </w:t>
      </w:r>
      <w:r w:rsidR="00C071A9">
        <w:rPr>
          <w:i/>
          <w:lang w:eastAsia="en-AU" w:bidi="ar-SA"/>
        </w:rPr>
        <w:t>on</w:t>
      </w:r>
      <w:r w:rsidR="00C071A9" w:rsidRPr="0021688C">
        <w:rPr>
          <w:i/>
          <w:lang w:eastAsia="en-AU" w:bidi="ar-SA"/>
        </w:rPr>
        <w:t xml:space="preserve"> </w:t>
      </w:r>
      <w:r w:rsidRPr="0021688C">
        <w:rPr>
          <w:i/>
          <w:lang w:eastAsia="en-AU" w:bidi="ar-SA"/>
        </w:rPr>
        <w:t xml:space="preserve">protein kinase C activation </w:t>
      </w:r>
      <w:r>
        <w:rPr>
          <w:i/>
          <w:lang w:eastAsia="en-AU" w:bidi="ar-SA"/>
        </w:rPr>
        <w:t xml:space="preserve">in male Wistar rats </w:t>
      </w:r>
      <w:r w:rsidRPr="0021688C">
        <w:rPr>
          <w:i/>
          <w:lang w:eastAsia="en-AU" w:bidi="ar-SA"/>
        </w:rPr>
        <w:t xml:space="preserve">(Meguro et al 2007). </w:t>
      </w:r>
      <w:r>
        <w:rPr>
          <w:i/>
          <w:lang w:eastAsia="en-AU" w:bidi="ar-SA"/>
        </w:rPr>
        <w:t>Regulatory status: Not GLP</w:t>
      </w:r>
    </w:p>
    <w:p w14:paraId="675A1A46" w14:textId="77777777" w:rsidR="00812B3E" w:rsidRDefault="00812B3E" w:rsidP="00812B3E">
      <w:pPr>
        <w:rPr>
          <w:i/>
          <w:lang w:eastAsia="en-AU" w:bidi="ar-SA"/>
        </w:rPr>
      </w:pPr>
    </w:p>
    <w:p w14:paraId="06AEE299" w14:textId="77777777" w:rsidR="00812B3E" w:rsidRDefault="00812B3E" w:rsidP="00812B3E">
      <w:pPr>
        <w:rPr>
          <w:lang w:eastAsia="en-AU" w:bidi="ar-SA"/>
        </w:rPr>
      </w:pPr>
      <w:r>
        <w:rPr>
          <w:lang w:eastAsia="en-AU" w:bidi="ar-SA"/>
        </w:rPr>
        <w:t>The percentage of DAG in the DAG oil used in the studies described in this publication is not stated in the text. It was compared to a triglyceride oil (TAG) with a similar profile of fatty acids.</w:t>
      </w:r>
    </w:p>
    <w:p w14:paraId="7E37C206" w14:textId="77777777" w:rsidR="00812B3E" w:rsidRDefault="00812B3E" w:rsidP="00812B3E">
      <w:pPr>
        <w:rPr>
          <w:lang w:eastAsia="en-AU" w:bidi="ar-SA"/>
        </w:rPr>
      </w:pPr>
    </w:p>
    <w:p w14:paraId="3C1B5418" w14:textId="77777777" w:rsidR="00812B3E" w:rsidRDefault="00812B3E" w:rsidP="00812B3E">
      <w:pPr>
        <w:rPr>
          <w:lang w:eastAsia="en-AU" w:bidi="ar-SA"/>
        </w:rPr>
      </w:pPr>
      <w:r>
        <w:rPr>
          <w:lang w:eastAsia="en-AU" w:bidi="ar-SA"/>
        </w:rPr>
        <w:t xml:space="preserve">The test system for the in-life studies comprised male Wistar rats. They were housed under standard laboratory environmental conditions with </w:t>
      </w:r>
      <w:r w:rsidRPr="00B46F4D">
        <w:rPr>
          <w:i/>
          <w:lang w:eastAsia="en-AU" w:bidi="ar-SA"/>
        </w:rPr>
        <w:t>ad libitum</w:t>
      </w:r>
      <w:r>
        <w:rPr>
          <w:lang w:eastAsia="en-AU" w:bidi="ar-SA"/>
        </w:rPr>
        <w:t xml:space="preserve"> access to food and water. It is no clear whether they were group-housed or housed individually.</w:t>
      </w:r>
    </w:p>
    <w:p w14:paraId="4EA72144" w14:textId="77777777" w:rsidR="0089119F" w:rsidRDefault="0089119F" w:rsidP="00812B3E">
      <w:pPr>
        <w:rPr>
          <w:lang w:eastAsia="en-AU" w:bidi="ar-SA"/>
        </w:rPr>
      </w:pPr>
    </w:p>
    <w:p w14:paraId="7F75F68E" w14:textId="055D43C1" w:rsidR="00812B3E" w:rsidRDefault="00812B3E" w:rsidP="00812B3E">
      <w:pPr>
        <w:rPr>
          <w:lang w:eastAsia="en-AU" w:bidi="ar-SA"/>
        </w:rPr>
      </w:pPr>
      <w:r>
        <w:rPr>
          <w:lang w:eastAsia="en-AU" w:bidi="ar-SA"/>
        </w:rPr>
        <w:t>In the first experiment, the rats were 5 weeks old at study start and were randomised to four groups. The number of rats per group is not specified. The treatment groups were 5% DAG oil, 23% DAG oil, 5% TAG oil or 23% TAG oil in the diet. Rats were maintained on the diets for four weeks. Food intake was recorded three times each week and body weights were recorded weekly. At the end of the in-life phase rats were killed and tongue, oesophagus, stomach, small intestine caecum and colon were collected. The mucosa was removed and protein kinase C (PKC) activity was measured using a commercial assay kit.</w:t>
      </w:r>
    </w:p>
    <w:p w14:paraId="6B809D9E" w14:textId="77777777" w:rsidR="00812B3E" w:rsidRDefault="00812B3E" w:rsidP="00812B3E">
      <w:pPr>
        <w:rPr>
          <w:lang w:eastAsia="en-AU" w:bidi="ar-SA"/>
        </w:rPr>
      </w:pPr>
    </w:p>
    <w:p w14:paraId="402BB64D" w14:textId="77777777" w:rsidR="00812B3E" w:rsidRDefault="00812B3E" w:rsidP="00812B3E">
      <w:pPr>
        <w:rPr>
          <w:lang w:eastAsia="en-AU" w:bidi="ar-SA"/>
        </w:rPr>
      </w:pPr>
      <w:r>
        <w:rPr>
          <w:lang w:eastAsia="en-AU" w:bidi="ar-SA"/>
        </w:rPr>
        <w:lastRenderedPageBreak/>
        <w:t xml:space="preserve">In the second experiment, rats were 7 weeks old at study start and were randomised to two groups. Again, the number of rats per group was not specified. Rats were fed a diet containing either 10% DAG or 10% TAG. The design of the in-life phase was the same as that for Experiment 1, with the exception that faeces from each rat was collected for the last five days of the study, and only caecal and colonic contents were collected after the rats were killed. The faeces and collected tissues were processed for measurement of PKC activity. </w:t>
      </w:r>
    </w:p>
    <w:p w14:paraId="67FD8435" w14:textId="77777777" w:rsidR="00812B3E" w:rsidRDefault="00812B3E" w:rsidP="00812B3E">
      <w:pPr>
        <w:rPr>
          <w:lang w:eastAsia="en-AU" w:bidi="ar-SA"/>
        </w:rPr>
      </w:pPr>
    </w:p>
    <w:p w14:paraId="03C5D61A" w14:textId="77777777" w:rsidR="00812B3E" w:rsidRDefault="00812B3E" w:rsidP="00812B3E">
      <w:pPr>
        <w:rPr>
          <w:lang w:eastAsia="en-AU" w:bidi="ar-SA"/>
        </w:rPr>
      </w:pPr>
      <w:r>
        <w:rPr>
          <w:lang w:eastAsia="en-AU" w:bidi="ar-SA"/>
        </w:rPr>
        <w:t xml:space="preserve">In the third experiment, which also used rats of 7 weeks old, there were two groups, although once again the number of rats per group was not stated. Rats were fed either DAG oil or TAG oil for 9 days, but the level of the oil in the diet is not stated. Food intake was recorded every 3 or 4 days, and rats were weighed on Days 1 and 9. After 9 days, the rats were fasted for 18 h and then supplied with the diet for 1 h. At 0, 1 or 4 h after restoration of the diet to the rats, rats were killed and serum was collected for analysis. The number of rats killed at each time-point is not specified. </w:t>
      </w:r>
    </w:p>
    <w:p w14:paraId="57B345B0" w14:textId="77777777" w:rsidR="00812B3E" w:rsidRDefault="00812B3E" w:rsidP="00812B3E">
      <w:pPr>
        <w:rPr>
          <w:lang w:eastAsia="en-AU" w:bidi="ar-SA"/>
        </w:rPr>
      </w:pPr>
    </w:p>
    <w:p w14:paraId="13854B27" w14:textId="77777777" w:rsidR="00812B3E" w:rsidRDefault="00812B3E" w:rsidP="00812B3E">
      <w:pPr>
        <w:rPr>
          <w:lang w:eastAsia="en-AU" w:bidi="ar-SA"/>
        </w:rPr>
      </w:pPr>
      <w:r>
        <w:rPr>
          <w:lang w:eastAsia="en-AU" w:bidi="ar-SA"/>
        </w:rPr>
        <w:t xml:space="preserve">Finally, the publication includes an </w:t>
      </w:r>
      <w:r w:rsidRPr="00F65FAF">
        <w:rPr>
          <w:i/>
          <w:lang w:eastAsia="en-AU" w:bidi="ar-SA"/>
        </w:rPr>
        <w:t>in vitro</w:t>
      </w:r>
      <w:r>
        <w:rPr>
          <w:i/>
          <w:lang w:eastAsia="en-AU" w:bidi="ar-SA"/>
        </w:rPr>
        <w:t xml:space="preserve"> </w:t>
      </w:r>
      <w:r>
        <w:rPr>
          <w:lang w:eastAsia="en-AU" w:bidi="ar-SA"/>
        </w:rPr>
        <w:t xml:space="preserve">experiment to determine whether the addition of DAG oil or TAG oil to CaCo-2 cells affected PKC activity in the cells. Exposure of cells to the oils was to both the apical and basolateral surfaces of the cells. </w:t>
      </w:r>
    </w:p>
    <w:p w14:paraId="7BA0E551" w14:textId="77777777" w:rsidR="00812B3E" w:rsidRDefault="00812B3E" w:rsidP="00812B3E">
      <w:pPr>
        <w:rPr>
          <w:lang w:eastAsia="en-AU" w:bidi="ar-SA"/>
        </w:rPr>
      </w:pPr>
    </w:p>
    <w:p w14:paraId="668A3F92" w14:textId="77777777" w:rsidR="00812B3E" w:rsidRDefault="00812B3E" w:rsidP="00812B3E">
      <w:pPr>
        <w:rPr>
          <w:lang w:eastAsia="en-AU" w:bidi="ar-SA"/>
        </w:rPr>
      </w:pPr>
      <w:r>
        <w:rPr>
          <w:lang w:eastAsia="en-AU" w:bidi="ar-SA"/>
        </w:rPr>
        <w:t xml:space="preserve">No differences in PKC activity between DAG groups or TAG groups was detected in lingual, oesophageal, gastric, small intestinal, caecal, proximal colonic or distal colonic mucosa, or in caecal contents, colonic contents, faeces or serum. Neither oil had any effect on PKC expression in CaCo-2 cells. </w:t>
      </w:r>
    </w:p>
    <w:p w14:paraId="60B5BAA6" w14:textId="77777777" w:rsidR="00812B3E" w:rsidRDefault="00812B3E" w:rsidP="00812B3E">
      <w:pPr>
        <w:rPr>
          <w:lang w:eastAsia="en-AU" w:bidi="ar-SA"/>
        </w:rPr>
      </w:pPr>
    </w:p>
    <w:p w14:paraId="0E7283D5" w14:textId="37089367" w:rsidR="00355F7C" w:rsidRDefault="00812B3E" w:rsidP="00355F7C">
      <w:pPr>
        <w:rPr>
          <w:lang w:eastAsia="en-AU" w:bidi="ar-SA"/>
        </w:rPr>
      </w:pPr>
      <w:r>
        <w:rPr>
          <w:lang w:eastAsia="en-AU" w:bidi="ar-SA"/>
        </w:rPr>
        <w:t>This series of studies tends to support the other studies that show that substituting triglycerides with diglycerides has no effect, although the lack of information concerning the composition of the DAG oil and the sizes of the groups of rats limit the usefulness of this paper.</w:t>
      </w:r>
    </w:p>
    <w:p w14:paraId="70C8455E" w14:textId="77777777" w:rsidR="00EE79AB" w:rsidRPr="00EE79AB" w:rsidRDefault="00EE79AB" w:rsidP="00EE79AB">
      <w:pPr>
        <w:rPr>
          <w:lang w:eastAsia="en-AU" w:bidi="ar-SA"/>
        </w:rPr>
      </w:pPr>
    </w:p>
    <w:p w14:paraId="574D032B" w14:textId="66A74977" w:rsidR="0042368D" w:rsidRDefault="0042368D" w:rsidP="005F4FEF">
      <w:pPr>
        <w:pStyle w:val="Heading3"/>
      </w:pPr>
      <w:bookmarkStart w:id="68" w:name="_Toc42849611"/>
      <w:bookmarkStart w:id="69" w:name="_Toc46487136"/>
      <w:bookmarkStart w:id="70" w:name="_Toc58251561"/>
      <w:r>
        <w:t>3.</w:t>
      </w:r>
      <w:r w:rsidR="00812B3E">
        <w:t>3.2</w:t>
      </w:r>
      <w:r>
        <w:tab/>
        <w:t>Human tolerance studies</w:t>
      </w:r>
      <w:bookmarkEnd w:id="68"/>
      <w:bookmarkEnd w:id="69"/>
      <w:bookmarkEnd w:id="70"/>
    </w:p>
    <w:p w14:paraId="4C2DBEEB" w14:textId="631928F4" w:rsidR="005F4FEF" w:rsidRDefault="005F4FEF" w:rsidP="0042368D">
      <w:pPr>
        <w:rPr>
          <w:lang w:eastAsia="en-AU" w:bidi="ar-SA"/>
        </w:rPr>
      </w:pPr>
      <w:r w:rsidRPr="005F4FEF">
        <w:rPr>
          <w:lang w:eastAsia="en-AU" w:bidi="ar-SA"/>
        </w:rPr>
        <w:t>No human tolerance studies of monoglycerides were submitted or located by literature search.</w:t>
      </w:r>
    </w:p>
    <w:p w14:paraId="4704A1B6" w14:textId="77777777" w:rsidR="005F4FEF" w:rsidRDefault="005F4FEF" w:rsidP="0042368D">
      <w:pPr>
        <w:rPr>
          <w:lang w:eastAsia="en-AU" w:bidi="ar-SA"/>
        </w:rPr>
      </w:pPr>
    </w:p>
    <w:p w14:paraId="069D9DF8" w14:textId="5FB1E755" w:rsidR="0042368D" w:rsidRDefault="00CA09DF" w:rsidP="0042368D">
      <w:pPr>
        <w:rPr>
          <w:lang w:eastAsia="en-AU" w:bidi="ar-SA"/>
        </w:rPr>
      </w:pPr>
      <w:r>
        <w:rPr>
          <w:lang w:eastAsia="en-AU" w:bidi="ar-SA"/>
        </w:rPr>
        <w:t xml:space="preserve">Morita and Soni (2009) reviewed a total of thirteen clinical studies of diacylglycerol oil in human beings. The studies included one double-blind crossover study, seven double-blind parallel studies, one randomized dietary trial, one single-blind parallel study, one single-blind controlled study, and three open-label studies. Study subjects included both sexes and ranged from healthy adults to overweight/obese </w:t>
      </w:r>
      <w:r>
        <w:rPr>
          <w:lang w:eastAsia="en-AU" w:bidi="ar-SA"/>
        </w:rPr>
        <w:lastRenderedPageBreak/>
        <w:t xml:space="preserve">adults and children, uraemic adults on dialysis, and Type II diabetics with hypertriglyceridaemia. Study durations were up to 12 months, and dose levels were measured at up to 730 mg/kg bw/day, or </w:t>
      </w:r>
      <w:r w:rsidRPr="00CA09DF">
        <w:rPr>
          <w:i/>
          <w:lang w:eastAsia="en-AU" w:bidi="ar-SA"/>
        </w:rPr>
        <w:t>ad libitum</w:t>
      </w:r>
      <w:r>
        <w:rPr>
          <w:lang w:eastAsia="en-AU" w:bidi="ar-SA"/>
        </w:rPr>
        <w:t xml:space="preserve">. In all studies, DAG was well tolerated with no associated adverse effects. </w:t>
      </w:r>
    </w:p>
    <w:p w14:paraId="034B974D" w14:textId="77777777" w:rsidR="00926A08" w:rsidRDefault="00926A08" w:rsidP="0042368D">
      <w:pPr>
        <w:rPr>
          <w:lang w:eastAsia="en-AU" w:bidi="ar-SA"/>
        </w:rPr>
      </w:pPr>
    </w:p>
    <w:p w14:paraId="6F53173E" w14:textId="1A6A1516" w:rsidR="00926A08" w:rsidRDefault="00926A08" w:rsidP="0042368D">
      <w:pPr>
        <w:rPr>
          <w:lang w:eastAsia="en-AU" w:bidi="ar-SA"/>
        </w:rPr>
      </w:pPr>
    </w:p>
    <w:p w14:paraId="5F8ABBAD" w14:textId="77777777" w:rsidR="00926A08" w:rsidRPr="00926A08" w:rsidRDefault="00926A08" w:rsidP="00926A08">
      <w:pPr>
        <w:rPr>
          <w:i/>
          <w:lang w:eastAsia="en-AU" w:bidi="ar-SA"/>
        </w:rPr>
      </w:pPr>
      <w:r w:rsidRPr="00926A08">
        <w:rPr>
          <w:i/>
          <w:lang w:eastAsia="en-AU" w:bidi="ar-SA"/>
        </w:rPr>
        <w:t xml:space="preserve">12-week intervention study replacing dietary triacylglycerol oil with diacylglycerol oil in healthy overweight volunteers (Telle-Hansen et al 2012). Regulatory status: Not GLP. </w:t>
      </w:r>
    </w:p>
    <w:p w14:paraId="684ECB7D" w14:textId="77777777" w:rsidR="00926A08" w:rsidRPr="00926A08" w:rsidRDefault="00926A08" w:rsidP="00926A08">
      <w:pPr>
        <w:rPr>
          <w:i/>
          <w:lang w:eastAsia="en-AU" w:bidi="ar-SA"/>
        </w:rPr>
      </w:pPr>
    </w:p>
    <w:p w14:paraId="31E16CFA" w14:textId="47ABF176" w:rsidR="00926A08" w:rsidRDefault="00926A08" w:rsidP="00926A08">
      <w:pPr>
        <w:rPr>
          <w:lang w:eastAsia="en-AU" w:bidi="ar-SA"/>
        </w:rPr>
      </w:pPr>
      <w:r>
        <w:rPr>
          <w:lang w:eastAsia="en-AU" w:bidi="ar-SA"/>
        </w:rPr>
        <w:t>This study was</w:t>
      </w:r>
      <w:r w:rsidR="008730EE">
        <w:rPr>
          <w:lang w:eastAsia="en-AU" w:bidi="ar-SA"/>
        </w:rPr>
        <w:t xml:space="preserve"> not designed as a tolerance study, but</w:t>
      </w:r>
      <w:r>
        <w:rPr>
          <w:lang w:eastAsia="en-AU" w:bidi="ar-SA"/>
        </w:rPr>
        <w:t xml:space="preserve"> conducted to determine whether replacing TAG oil in food items with DAG oil would influence metabolic markers in healthy, overweight volunteers. Twenty-three men and women, aged between 37 and 67 years, with BMI between 27 and 35, completed the study with </w:t>
      </w:r>
      <w:r>
        <w:rPr>
          <w:rFonts w:cs="Arial"/>
          <w:lang w:eastAsia="en-AU" w:bidi="ar-SA"/>
        </w:rPr>
        <w:t>≥</w:t>
      </w:r>
      <w:r>
        <w:rPr>
          <w:lang w:eastAsia="en-AU" w:bidi="ar-SA"/>
        </w:rPr>
        <w:t xml:space="preserve"> 90% compliance. Subjects were assigned to either the TAG or DAG group. The oils were provided in margarine, mayonnaise and/or oil, and compliance was determined by return of empty containers of the lipid sources. Subjects were asked to maintain a stable weight and to refrain from the use of </w:t>
      </w:r>
      <w:r>
        <w:rPr>
          <w:i/>
          <w:lang w:eastAsia="en-AU" w:bidi="ar-SA"/>
        </w:rPr>
        <w:t>n</w:t>
      </w:r>
      <w:r>
        <w:rPr>
          <w:lang w:eastAsia="en-AU" w:bidi="ar-SA"/>
        </w:rPr>
        <w:t>-3 fatty acid supplements or other dietary supplements. The dietary intervention was continued for 12 weeks. Parameters measured prior to the start of the intervention, and at the end, included blood pressure, body weight, total body fat percentage, total body fat mass, trunk fat mass, and fat-free mass. Additionally, urine was collected and analysed for was analysed for 8-isoPGF</w:t>
      </w:r>
      <w:r>
        <w:rPr>
          <w:vertAlign w:val="subscript"/>
          <w:lang w:eastAsia="en-AU" w:bidi="ar-SA"/>
        </w:rPr>
        <w:t>2</w:t>
      </w:r>
      <w:r>
        <w:rPr>
          <w:rFonts w:cs="Arial"/>
          <w:vertAlign w:val="subscript"/>
          <w:lang w:eastAsia="en-AU" w:bidi="ar-SA"/>
        </w:rPr>
        <w:t>α</w:t>
      </w:r>
      <w:r>
        <w:rPr>
          <w:vertAlign w:val="subscript"/>
          <w:lang w:eastAsia="en-AU" w:bidi="ar-SA"/>
        </w:rPr>
        <w:t xml:space="preserve"> </w:t>
      </w:r>
      <w:r>
        <w:rPr>
          <w:lang w:eastAsia="en-AU" w:bidi="ar-SA"/>
        </w:rPr>
        <w:t xml:space="preserve">and creatinine, and blood was collected and analysed for serum lipids, glucose, insulin, C-reactive protein, liver enzymes, TSH, C-peptide </w:t>
      </w:r>
      <w:r>
        <w:rPr>
          <w:rFonts w:cs="Arial"/>
          <w:lang w:eastAsia="en-AU" w:bidi="ar-SA"/>
        </w:rPr>
        <w:t>α</w:t>
      </w:r>
      <w:r>
        <w:rPr>
          <w:lang w:eastAsia="en-AU" w:bidi="ar-SA"/>
        </w:rPr>
        <w:t xml:space="preserve">-tocopherol and TAG. </w:t>
      </w:r>
    </w:p>
    <w:p w14:paraId="301E823F" w14:textId="77777777" w:rsidR="00926A08" w:rsidRDefault="00926A08" w:rsidP="00926A08">
      <w:pPr>
        <w:rPr>
          <w:lang w:eastAsia="en-AU" w:bidi="ar-SA"/>
        </w:rPr>
      </w:pPr>
    </w:p>
    <w:p w14:paraId="1D77730C" w14:textId="29AD68B6" w:rsidR="00926A08" w:rsidRDefault="00926A08" w:rsidP="00926A08">
      <w:pPr>
        <w:rPr>
          <w:lang w:eastAsia="en-AU" w:bidi="ar-SA"/>
        </w:rPr>
      </w:pPr>
      <w:r>
        <w:rPr>
          <w:lang w:eastAsia="en-AU" w:bidi="ar-SA"/>
        </w:rPr>
        <w:t>Substit</w:t>
      </w:r>
      <w:r w:rsidR="000F292C">
        <w:rPr>
          <w:lang w:eastAsia="en-AU" w:bidi="ar-SA"/>
        </w:rPr>
        <w:t>ut</w:t>
      </w:r>
      <w:r>
        <w:rPr>
          <w:lang w:eastAsia="en-AU" w:bidi="ar-SA"/>
        </w:rPr>
        <w:t xml:space="preserve">ion of dietary TAG with DAG for 12 weeks led to an improvement in 10-year cardiovascular risk score, through non-significant improvements in group mean values for a number of parameters including total body fat percentage, trunk fat mass, systolic blood pressure, total fat-free mass and serum activities of alanine aminotransferase, alkaline phosphatase and </w:t>
      </w:r>
      <w:r>
        <w:rPr>
          <w:rFonts w:cs="Arial"/>
          <w:lang w:eastAsia="en-AU" w:bidi="ar-SA"/>
        </w:rPr>
        <w:t>γ</w:t>
      </w:r>
      <w:r>
        <w:rPr>
          <w:lang w:eastAsia="en-AU" w:bidi="ar-SA"/>
        </w:rPr>
        <w:t>-glutamyl transferase. No adverse effects of consuming DAG rather than TAG were reported. The daily intake of DAG was 11.2 g per subject. The range in body weights in the DAG group was 80.2 to 102.9 kg, so the approximate daily intake of DAG ranged from 109 to 140 mg/kg bw/day.</w:t>
      </w:r>
    </w:p>
    <w:p w14:paraId="662344F9" w14:textId="029A76F7" w:rsidR="00104BBC" w:rsidRDefault="00104BBC" w:rsidP="00926A08">
      <w:pPr>
        <w:rPr>
          <w:lang w:eastAsia="en-AU" w:bidi="ar-SA"/>
        </w:rPr>
      </w:pPr>
    </w:p>
    <w:p w14:paraId="43724F6D" w14:textId="77777777" w:rsidR="00EE79AB" w:rsidRPr="00EE79AB" w:rsidRDefault="00EE79AB" w:rsidP="00EE79AB">
      <w:pPr>
        <w:rPr>
          <w:lang w:eastAsia="en-AU" w:bidi="ar-SA"/>
        </w:rPr>
      </w:pPr>
    </w:p>
    <w:p w14:paraId="22E1F7CB" w14:textId="41504301" w:rsidR="0042368D" w:rsidRDefault="0042368D" w:rsidP="009E1FF4">
      <w:pPr>
        <w:pStyle w:val="Heading2"/>
        <w:rPr>
          <w:lang w:eastAsia="en-AU"/>
        </w:rPr>
      </w:pPr>
      <w:bookmarkStart w:id="71" w:name="_Toc42849612"/>
      <w:bookmarkStart w:id="72" w:name="_Toc46487137"/>
      <w:bookmarkStart w:id="73" w:name="_Toc58251562"/>
      <w:r>
        <w:rPr>
          <w:lang w:eastAsia="en-AU"/>
        </w:rPr>
        <w:lastRenderedPageBreak/>
        <w:t>3.</w:t>
      </w:r>
      <w:r w:rsidR="00812B3E">
        <w:rPr>
          <w:lang w:eastAsia="en-AU"/>
        </w:rPr>
        <w:t>4</w:t>
      </w:r>
      <w:r>
        <w:rPr>
          <w:lang w:eastAsia="en-AU"/>
        </w:rPr>
        <w:tab/>
        <w:t>Assessments by other agencies</w:t>
      </w:r>
      <w:bookmarkEnd w:id="71"/>
      <w:bookmarkEnd w:id="72"/>
      <w:bookmarkEnd w:id="73"/>
    </w:p>
    <w:p w14:paraId="13DF9001" w14:textId="77777777" w:rsidR="0014568E" w:rsidRPr="00C74DC3" w:rsidRDefault="0014568E" w:rsidP="0014568E">
      <w:pPr>
        <w:pStyle w:val="Heading4"/>
      </w:pPr>
      <w:r>
        <w:t>JECFA</w:t>
      </w:r>
    </w:p>
    <w:p w14:paraId="02A43409" w14:textId="65FCFD2E" w:rsidR="0014568E" w:rsidRDefault="0014568E" w:rsidP="0014568E">
      <w:pPr>
        <w:rPr>
          <w:lang w:eastAsia="en-AU" w:bidi="ar-SA"/>
        </w:rPr>
      </w:pPr>
      <w:r>
        <w:rPr>
          <w:lang w:eastAsia="en-AU" w:bidi="ar-SA"/>
        </w:rPr>
        <w:t>As described in section 3.1 , m</w:t>
      </w:r>
      <w:r w:rsidRPr="00C74DC3">
        <w:rPr>
          <w:lang w:eastAsia="en-AU" w:bidi="ar-SA"/>
        </w:rPr>
        <w:t>ono- and diglycerides as food additives were approved, within the category ‘Emulsifiers and stabilizers’ by JECFA in 1963 and 1973. An ADI of “not limited” was established at the 17th JECFA meeting in 1973</w:t>
      </w:r>
      <w:r w:rsidR="004B21F1">
        <w:rPr>
          <w:lang w:eastAsia="en-AU" w:bidi="ar-SA"/>
        </w:rPr>
        <w:t xml:space="preserve"> </w:t>
      </w:r>
      <w:r w:rsidRPr="00C74DC3">
        <w:rPr>
          <w:lang w:eastAsia="en-AU" w:bidi="ar-SA"/>
        </w:rPr>
        <w:t>(JECFA, 1974a).</w:t>
      </w:r>
    </w:p>
    <w:p w14:paraId="706CDD30" w14:textId="77777777" w:rsidR="0014568E" w:rsidRPr="00C74DC3" w:rsidRDefault="0014568E" w:rsidP="0014568E">
      <w:pPr>
        <w:pStyle w:val="Heading4"/>
      </w:pPr>
      <w:r>
        <w:t>Codex</w:t>
      </w:r>
    </w:p>
    <w:p w14:paraId="74D1B760" w14:textId="340306DE" w:rsidR="0014568E" w:rsidRDefault="0014568E" w:rsidP="0014568E">
      <w:pPr>
        <w:rPr>
          <w:lang w:eastAsia="en-AU" w:bidi="ar-SA"/>
        </w:rPr>
      </w:pPr>
      <w:r>
        <w:rPr>
          <w:lang w:eastAsia="en-AU" w:bidi="ar-SA"/>
        </w:rPr>
        <w:t xml:space="preserve">The Codex Alimentarius General Standard for Food Additives (GSFA) gives approval for </w:t>
      </w:r>
      <w:r w:rsidR="001C6242">
        <w:rPr>
          <w:lang w:eastAsia="en-AU" w:bidi="ar-SA"/>
        </w:rPr>
        <w:t>mono- and diglycerides (</w:t>
      </w:r>
      <w:r>
        <w:rPr>
          <w:lang w:eastAsia="en-AU" w:bidi="ar-SA"/>
        </w:rPr>
        <w:t>INS 471</w:t>
      </w:r>
      <w:r w:rsidR="001C6242">
        <w:rPr>
          <w:lang w:eastAsia="en-AU" w:bidi="ar-SA"/>
        </w:rPr>
        <w:t>)</w:t>
      </w:r>
      <w:r>
        <w:rPr>
          <w:lang w:eastAsia="en-AU" w:bidi="ar-SA"/>
        </w:rPr>
        <w:t xml:space="preserve"> in 27 food categories, including use in foods for vulnerable subpopulations, in that approval exists for use in infant formulae, follow-on formulae and foods for special medical purposes. As an additive in GSFA Table 3, INS 471 is approved for use at GMP in 61 food categories. At its 42</w:t>
      </w:r>
      <w:r w:rsidRPr="00C74DC3">
        <w:rPr>
          <w:vertAlign w:val="superscript"/>
          <w:lang w:eastAsia="en-AU" w:bidi="ar-SA"/>
        </w:rPr>
        <w:t>nd</w:t>
      </w:r>
      <w:r>
        <w:rPr>
          <w:lang w:eastAsia="en-AU" w:bidi="ar-SA"/>
        </w:rPr>
        <w:t xml:space="preserve"> session, in July 2019, the Codex Alimentarius Commission adopted a recommendation from the Codex Committee on Food Additives to expand to use of INS 471 to include use as a glazing agent on surface-treated fruits and vegetables (Codex Alimentarius Commission, 2019).</w:t>
      </w:r>
    </w:p>
    <w:p w14:paraId="2C74DAB5" w14:textId="77777777" w:rsidR="0014568E" w:rsidRDefault="0014568E" w:rsidP="0014568E">
      <w:pPr>
        <w:pStyle w:val="Heading4"/>
      </w:pPr>
      <w:r>
        <w:t>European Union</w:t>
      </w:r>
    </w:p>
    <w:p w14:paraId="19F71CE9" w14:textId="5747B5C4" w:rsidR="0014568E" w:rsidRDefault="0014568E" w:rsidP="0014568E">
      <w:pPr>
        <w:rPr>
          <w:lang w:bidi="ar-SA"/>
        </w:rPr>
      </w:pPr>
      <w:r>
        <w:rPr>
          <w:lang w:bidi="ar-SA"/>
        </w:rPr>
        <w:t xml:space="preserve">In 2019, the European Union (EU) approved the use of mono- and diglycerides of fatty acids at GMP for the surface treatment of citrus fruit, melons, pineapples, bananas, papayas, mangoes, avocados and pomegranates (EU 2019). This approval followed the assessment of mono- and diglycerides of fatty </w:t>
      </w:r>
      <w:r w:rsidR="00BE0AE8">
        <w:rPr>
          <w:lang w:bidi="ar-SA"/>
        </w:rPr>
        <w:t xml:space="preserve">acids by EFSA in 2017. The EFSA </w:t>
      </w:r>
      <w:r>
        <w:rPr>
          <w:lang w:bidi="ar-SA"/>
        </w:rPr>
        <w:t>Panel found no evidence of adverse effects and concluded that a numerical ADI was not required</w:t>
      </w:r>
      <w:r w:rsidR="00CC526F">
        <w:rPr>
          <w:lang w:bidi="ar-SA"/>
        </w:rPr>
        <w:t xml:space="preserve">. However the EFSA Panel recommended that the European Commission consider reviewing a number of the specifications for mono- and </w:t>
      </w:r>
      <w:r w:rsidR="000F292C">
        <w:rPr>
          <w:lang w:bidi="ar-SA"/>
        </w:rPr>
        <w:t>diglycerides</w:t>
      </w:r>
      <w:r w:rsidR="00CC526F">
        <w:rPr>
          <w:lang w:bidi="ar-SA"/>
        </w:rPr>
        <w:t xml:space="preserve"> (</w:t>
      </w:r>
      <w:r w:rsidR="000F292C">
        <w:rPr>
          <w:lang w:bidi="ar-SA"/>
        </w:rPr>
        <w:t>which</w:t>
      </w:r>
      <w:r w:rsidR="00CC526F">
        <w:rPr>
          <w:lang w:bidi="ar-SA"/>
        </w:rPr>
        <w:t xml:space="preserve"> they call E 471) including arsenic, lead, mercury, cadmium, glycerol, residual solvents (specifically, </w:t>
      </w:r>
      <w:r w:rsidR="00CC526F" w:rsidRPr="00CC526F">
        <w:rPr>
          <w:lang w:bidi="ar-SA"/>
        </w:rPr>
        <w:t xml:space="preserve">tert-butanol </w:t>
      </w:r>
      <w:r w:rsidR="00CC526F">
        <w:rPr>
          <w:lang w:bidi="ar-SA"/>
        </w:rPr>
        <w:t>and</w:t>
      </w:r>
      <w:r w:rsidR="00CC526F" w:rsidRPr="00CC526F">
        <w:rPr>
          <w:lang w:bidi="ar-SA"/>
        </w:rPr>
        <w:t xml:space="preserve"> tert-pentanol</w:t>
      </w:r>
      <w:r w:rsidR="00CC526F">
        <w:rPr>
          <w:lang w:bidi="ar-SA"/>
        </w:rPr>
        <w:t>), trans fatty acids, glycidyl esters, and erucic acid</w:t>
      </w:r>
      <w:r w:rsidR="00CC526F" w:rsidRPr="00CC526F">
        <w:rPr>
          <w:lang w:bidi="ar-SA"/>
        </w:rPr>
        <w:t xml:space="preserve">. </w:t>
      </w:r>
      <w:r w:rsidR="00CC526F">
        <w:rPr>
          <w:lang w:bidi="ar-SA"/>
        </w:rPr>
        <w:t xml:space="preserve">The Panel also recommended that more data should be generated concerning 3-monochloropropane-1,2-diol (3-MCPD) and glycidyl esters because these can be produced under certain conditions form mono- and diglycerides </w:t>
      </w:r>
      <w:r>
        <w:rPr>
          <w:lang w:bidi="ar-SA"/>
        </w:rPr>
        <w:t>(EFSA</w:t>
      </w:r>
      <w:r w:rsidR="00BE0AE8">
        <w:rPr>
          <w:lang w:bidi="ar-SA"/>
        </w:rPr>
        <w:t xml:space="preserve"> ANS Panel</w:t>
      </w:r>
      <w:r>
        <w:rPr>
          <w:lang w:bidi="ar-SA"/>
        </w:rPr>
        <w:t xml:space="preserve"> 2017).</w:t>
      </w:r>
      <w:r w:rsidR="00CC526F">
        <w:rPr>
          <w:lang w:bidi="ar-SA"/>
        </w:rPr>
        <w:t xml:space="preserve"> FSANZ notes that the European Commission has not revised the specifications for mono- and diglycerides and that </w:t>
      </w:r>
      <w:r w:rsidR="001C6242">
        <w:rPr>
          <w:lang w:bidi="ar-SA"/>
        </w:rPr>
        <w:t>the food additive that is the subject of the current application</w:t>
      </w:r>
      <w:r w:rsidR="00CC526F">
        <w:rPr>
          <w:lang w:bidi="ar-SA"/>
        </w:rPr>
        <w:t xml:space="preserve"> </w:t>
      </w:r>
      <w:r w:rsidR="00CC526F" w:rsidRPr="00CC526F">
        <w:rPr>
          <w:lang w:bidi="ar-SA"/>
        </w:rPr>
        <w:t>complies with the relevant JECFA, FCC and EU spec</w:t>
      </w:r>
      <w:r w:rsidR="00CC526F">
        <w:rPr>
          <w:lang w:bidi="ar-SA"/>
        </w:rPr>
        <w:t xml:space="preserve">ifications. </w:t>
      </w:r>
    </w:p>
    <w:p w14:paraId="4493ECA6" w14:textId="018985B4" w:rsidR="0014568E" w:rsidRDefault="00CC526F" w:rsidP="00CC526F">
      <w:pPr>
        <w:pStyle w:val="Heading4"/>
      </w:pPr>
      <w:r>
        <w:t xml:space="preserve">United </w:t>
      </w:r>
      <w:r w:rsidR="0014568E">
        <w:t>States of America</w:t>
      </w:r>
    </w:p>
    <w:p w14:paraId="79EA6DD3" w14:textId="77777777" w:rsidR="0014568E" w:rsidRDefault="0014568E" w:rsidP="0014568E">
      <w:pPr>
        <w:rPr>
          <w:lang w:bidi="ar-SA"/>
        </w:rPr>
      </w:pPr>
      <w:r>
        <w:rPr>
          <w:lang w:bidi="ar-SA"/>
        </w:rPr>
        <w:t xml:space="preserve">The US-FDA responded with a No Questions letter to a GRAS notification for the </w:t>
      </w:r>
      <w:r>
        <w:rPr>
          <w:lang w:bidi="ar-SA"/>
        </w:rPr>
        <w:lastRenderedPageBreak/>
        <w:t>use of mono- and diglycerides as a surface-finishing agent on fresh fruits and vegetables (GRN 000648). However this does not constitute an assessment.</w:t>
      </w:r>
    </w:p>
    <w:p w14:paraId="31842978" w14:textId="77777777" w:rsidR="0014568E" w:rsidRDefault="0014568E" w:rsidP="0014568E">
      <w:pPr>
        <w:pStyle w:val="Heading4"/>
      </w:pPr>
      <w:r>
        <w:t>Other countries</w:t>
      </w:r>
    </w:p>
    <w:p w14:paraId="3637B723" w14:textId="5148CDCC" w:rsidR="0014568E" w:rsidRPr="00934A1B" w:rsidRDefault="0014568E" w:rsidP="0014568E">
      <w:pPr>
        <w:rPr>
          <w:lang w:bidi="ar-SA"/>
        </w:rPr>
      </w:pPr>
      <w:r>
        <w:rPr>
          <w:lang w:bidi="ar-SA"/>
        </w:rPr>
        <w:t xml:space="preserve">Documents were provided as part of the application to show that Chile, China, Japan, Mexico and Peru have approved the use of mono- and diglycerides, either for all functional classes, or for functions including that of a surface treatment for fruits and vegetables (Chile 1997a,b; China National Health and Family Planning Commission 2018; Japan Ministry of Health, Labour and Welfare 2018; COFEPRIS (Mexico) 2018; DIGESA (Peru), 1998). However it is not clear whether the regulatory authorities in those countries conducted independent assessments, or based their approvals on </w:t>
      </w:r>
      <w:r w:rsidR="00E836D8">
        <w:rPr>
          <w:lang w:bidi="ar-SA"/>
        </w:rPr>
        <w:t xml:space="preserve">the </w:t>
      </w:r>
      <w:r>
        <w:rPr>
          <w:lang w:bidi="ar-SA"/>
        </w:rPr>
        <w:t>JECFA approval.</w:t>
      </w:r>
    </w:p>
    <w:p w14:paraId="4C7D08BA" w14:textId="1BD23391" w:rsidR="0058203C" w:rsidRDefault="0058203C" w:rsidP="0042368D">
      <w:pPr>
        <w:rPr>
          <w:lang w:eastAsia="en-AU" w:bidi="ar-SA"/>
        </w:rPr>
      </w:pPr>
    </w:p>
    <w:p w14:paraId="6D3FDCD8" w14:textId="35190D9D" w:rsidR="000450F4" w:rsidRPr="00F06E43" w:rsidRDefault="000450F4" w:rsidP="000450F4">
      <w:pPr>
        <w:pStyle w:val="Heading2"/>
      </w:pPr>
      <w:bookmarkStart w:id="74" w:name="_Toc58251563"/>
      <w:r w:rsidRPr="00F06E43">
        <w:rPr>
          <w:lang w:eastAsia="en-AU"/>
        </w:rPr>
        <w:t>3.5</w:t>
      </w:r>
      <w:r w:rsidRPr="00F06E43">
        <w:rPr>
          <w:lang w:eastAsia="en-AU"/>
        </w:rPr>
        <w:tab/>
      </w:r>
      <w:r w:rsidRPr="00F06E43">
        <w:t>Potential allergen issues</w:t>
      </w:r>
      <w:bookmarkEnd w:id="74"/>
    </w:p>
    <w:p w14:paraId="46082FD9" w14:textId="6C24CE5E" w:rsidR="000450F4" w:rsidRPr="00F06E43" w:rsidRDefault="000450F4" w:rsidP="000450F4">
      <w:pPr>
        <w:rPr>
          <w:lang w:eastAsia="en-AU"/>
        </w:rPr>
      </w:pPr>
      <w:r w:rsidRPr="00F06E43">
        <w:rPr>
          <w:lang w:eastAsia="en-AU"/>
        </w:rPr>
        <w:t xml:space="preserve">The only potential for allergens </w:t>
      </w:r>
      <w:r w:rsidR="007354FB" w:rsidRPr="00F06E43">
        <w:rPr>
          <w:lang w:eastAsia="en-AU"/>
        </w:rPr>
        <w:t xml:space="preserve">to be present </w:t>
      </w:r>
      <w:r w:rsidRPr="00F06E43">
        <w:rPr>
          <w:lang w:eastAsia="en-AU"/>
        </w:rPr>
        <w:t xml:space="preserve">in the food additive comes from the possible use of oils and fats derived from allergen sources to produce the food additive. The applicant has confirmed that its version of the food additive is not produced from any oils or fats sourced from a </w:t>
      </w:r>
      <w:r w:rsidR="007354FB" w:rsidRPr="00F06E43">
        <w:rPr>
          <w:lang w:eastAsia="en-AU"/>
        </w:rPr>
        <w:t xml:space="preserve">major food </w:t>
      </w:r>
      <w:r w:rsidRPr="00F06E43">
        <w:rPr>
          <w:lang w:eastAsia="en-AU"/>
        </w:rPr>
        <w:t xml:space="preserve">allergen requiring mandatory declaration in section 1.2.3—4 of the Code. That is, it is not produced from </w:t>
      </w:r>
      <w:r w:rsidR="00B00F14" w:rsidRPr="00F06E43">
        <w:rPr>
          <w:lang w:eastAsia="en-AU"/>
        </w:rPr>
        <w:t xml:space="preserve">a </w:t>
      </w:r>
      <w:r w:rsidR="007354FB" w:rsidRPr="00F06E43">
        <w:rPr>
          <w:lang w:eastAsia="en-AU"/>
        </w:rPr>
        <w:t>ma</w:t>
      </w:r>
      <w:r w:rsidR="00B00F14" w:rsidRPr="00F06E43">
        <w:rPr>
          <w:lang w:eastAsia="en-AU"/>
        </w:rPr>
        <w:t>jor food</w:t>
      </w:r>
      <w:r w:rsidR="007354FB" w:rsidRPr="00F06E43">
        <w:rPr>
          <w:lang w:eastAsia="en-AU"/>
        </w:rPr>
        <w:t xml:space="preserve"> </w:t>
      </w:r>
      <w:r w:rsidRPr="00F06E43">
        <w:rPr>
          <w:lang w:eastAsia="en-AU"/>
        </w:rPr>
        <w:t xml:space="preserve">allergen such as </w:t>
      </w:r>
      <w:r w:rsidR="007354FB" w:rsidRPr="00F06E43">
        <w:rPr>
          <w:lang w:eastAsia="en-AU"/>
        </w:rPr>
        <w:t xml:space="preserve">soybean, </w:t>
      </w:r>
      <w:r w:rsidRPr="00F06E43">
        <w:rPr>
          <w:lang w:eastAsia="en-AU"/>
        </w:rPr>
        <w:t xml:space="preserve">peanut or sesame. </w:t>
      </w:r>
    </w:p>
    <w:p w14:paraId="43206888" w14:textId="77777777" w:rsidR="000450F4" w:rsidRPr="00F06E43" w:rsidRDefault="000450F4" w:rsidP="000450F4">
      <w:pPr>
        <w:rPr>
          <w:lang w:eastAsia="en-AU"/>
        </w:rPr>
      </w:pPr>
    </w:p>
    <w:p w14:paraId="4D56F4EF" w14:textId="77777777" w:rsidR="000450F4" w:rsidRPr="00F06E43" w:rsidRDefault="000450F4" w:rsidP="000450F4">
      <w:pPr>
        <w:rPr>
          <w:lang w:eastAsia="en-AU"/>
        </w:rPr>
      </w:pPr>
      <w:r w:rsidRPr="00F06E43">
        <w:rPr>
          <w:lang w:eastAsia="en-AU"/>
        </w:rPr>
        <w:t xml:space="preserve">However, the specification for the food additive does not specify which oils or fats the food additive can be sourced from in its manufacture, nor which ones should not be used. </w:t>
      </w:r>
    </w:p>
    <w:p w14:paraId="1BFF5243" w14:textId="77777777" w:rsidR="000450F4" w:rsidRPr="00F06E43" w:rsidRDefault="000450F4" w:rsidP="000450F4">
      <w:pPr>
        <w:rPr>
          <w:lang w:eastAsia="en-AU"/>
        </w:rPr>
      </w:pPr>
    </w:p>
    <w:p w14:paraId="2D039B39" w14:textId="69B650D7" w:rsidR="000450F4" w:rsidRPr="00F06E43" w:rsidRDefault="000450F4" w:rsidP="000450F4">
      <w:pPr>
        <w:rPr>
          <w:lang w:eastAsia="en-AU"/>
        </w:rPr>
      </w:pPr>
      <w:r w:rsidRPr="00F06E43">
        <w:rPr>
          <w:lang w:eastAsia="en-AU"/>
        </w:rPr>
        <w:t xml:space="preserve">A permission for use of the food additive as an outcome of the application would permit the applicant’s version of the food additive </w:t>
      </w:r>
      <w:r w:rsidR="00B00F14" w:rsidRPr="00F06E43">
        <w:rPr>
          <w:lang w:eastAsia="en-AU"/>
        </w:rPr>
        <w:t xml:space="preserve">for which there are no </w:t>
      </w:r>
      <w:r w:rsidR="007354FB" w:rsidRPr="00F06E43">
        <w:rPr>
          <w:lang w:eastAsia="en-AU"/>
        </w:rPr>
        <w:t>allergenicity</w:t>
      </w:r>
      <w:r w:rsidRPr="00F06E43">
        <w:rPr>
          <w:lang w:eastAsia="en-AU"/>
        </w:rPr>
        <w:t xml:space="preserve"> concerns, but it would also provide a generic permission where other sources of oils and fats could be used in the manufacture of the food additive. The source material used to produce the food additive can be, among others, coconut, palm, palm kernel, soya, rapeseed (Canola), sunflower, cottonseed, corn, olive, tallow and lard (EFSA 2017). </w:t>
      </w:r>
    </w:p>
    <w:p w14:paraId="7E66AD19" w14:textId="77777777" w:rsidR="000450F4" w:rsidRPr="00F06E43" w:rsidRDefault="000450F4" w:rsidP="000450F4">
      <w:pPr>
        <w:rPr>
          <w:lang w:eastAsia="en-AU"/>
        </w:rPr>
      </w:pPr>
    </w:p>
    <w:p w14:paraId="440B9EA7" w14:textId="61D9F190" w:rsidR="000450F4" w:rsidRPr="00F06E43" w:rsidRDefault="007354FB" w:rsidP="000450F4">
      <w:pPr>
        <w:rPr>
          <w:lang w:eastAsia="en-AU"/>
        </w:rPr>
      </w:pPr>
      <w:r w:rsidRPr="00F06E43">
        <w:rPr>
          <w:lang w:eastAsia="en-AU"/>
        </w:rPr>
        <w:t xml:space="preserve">Of these potential sources, only soybean is a major food allergen. </w:t>
      </w:r>
      <w:r w:rsidR="000450F4" w:rsidRPr="00F06E43">
        <w:rPr>
          <w:szCs w:val="22"/>
          <w:lang w:val="en-AU" w:bidi="ar-SA"/>
        </w:rPr>
        <w:t xml:space="preserve">FSANZ </w:t>
      </w:r>
      <w:r w:rsidR="000450F4" w:rsidRPr="00F06E43">
        <w:rPr>
          <w:lang w:val="en-AU"/>
        </w:rPr>
        <w:t>concluded within Proposal P1031</w:t>
      </w:r>
      <w:r w:rsidR="000450F4" w:rsidRPr="00F06E43">
        <w:rPr>
          <w:rStyle w:val="FootnoteReference"/>
          <w:lang w:val="en-AU"/>
        </w:rPr>
        <w:footnoteReference w:id="4"/>
      </w:r>
      <w:r w:rsidR="000450F4" w:rsidRPr="00F06E43">
        <w:rPr>
          <w:lang w:val="en-AU"/>
        </w:rPr>
        <w:t xml:space="preserve"> (Allergen Labelling Exemptions) </w:t>
      </w:r>
      <w:r w:rsidR="000450F4" w:rsidRPr="00F06E43">
        <w:rPr>
          <w:rFonts w:eastAsia="Arial"/>
        </w:rPr>
        <w:t xml:space="preserve">that soybean oil that has been fully refined i.e. degummed, neutralised, bleached and deodorised (N/RBD) so that potential allergen proteins have been removed presents negligible </w:t>
      </w:r>
      <w:r w:rsidR="000450F4" w:rsidRPr="00F06E43">
        <w:rPr>
          <w:rFonts w:eastAsia="Arial"/>
        </w:rPr>
        <w:lastRenderedPageBreak/>
        <w:t>risk to soybean allergic consumers.</w:t>
      </w:r>
      <w:r w:rsidR="000450F4" w:rsidRPr="00F06E43">
        <w:rPr>
          <w:lang w:eastAsia="en-AU"/>
        </w:rPr>
        <w:t xml:space="preserve"> Therefore, if </w:t>
      </w:r>
      <w:r w:rsidR="008D3B93" w:rsidRPr="00F06E43">
        <w:rPr>
          <w:lang w:eastAsia="en-AU"/>
        </w:rPr>
        <w:t xml:space="preserve">fully </w:t>
      </w:r>
      <w:r w:rsidR="000450F4" w:rsidRPr="00F06E43">
        <w:rPr>
          <w:lang w:eastAsia="en-AU"/>
        </w:rPr>
        <w:t xml:space="preserve">refined soybean oil is used as the source to produce the food additive then no allergen safety concerns </w:t>
      </w:r>
      <w:r w:rsidR="001F4AC3" w:rsidRPr="00F06E43">
        <w:rPr>
          <w:lang w:eastAsia="en-AU"/>
        </w:rPr>
        <w:t xml:space="preserve">would </w:t>
      </w:r>
      <w:r w:rsidR="000450F4" w:rsidRPr="00F06E43">
        <w:rPr>
          <w:lang w:eastAsia="en-AU"/>
        </w:rPr>
        <w:t>apply.</w:t>
      </w:r>
    </w:p>
    <w:p w14:paraId="0CD24F34" w14:textId="77777777" w:rsidR="000450F4" w:rsidRPr="00F06E43" w:rsidRDefault="000450F4" w:rsidP="000450F4">
      <w:pPr>
        <w:rPr>
          <w:lang w:eastAsia="en-AU"/>
        </w:rPr>
      </w:pPr>
    </w:p>
    <w:p w14:paraId="7B352BE5" w14:textId="4709C7A2" w:rsidR="000450F4" w:rsidRPr="00F06E43" w:rsidRDefault="008D3B93" w:rsidP="000450F4">
      <w:pPr>
        <w:rPr>
          <w:lang w:eastAsia="en-AU"/>
        </w:rPr>
      </w:pPr>
      <w:r w:rsidRPr="00F06E43">
        <w:rPr>
          <w:lang w:eastAsia="en-AU"/>
        </w:rPr>
        <w:t xml:space="preserve">Mono- and diglycerides of fatty acids have been used as a GMP food additive around the world for many years, </w:t>
      </w:r>
      <w:r w:rsidR="00F06E43" w:rsidRPr="00F06E43">
        <w:rPr>
          <w:lang w:eastAsia="en-AU"/>
        </w:rPr>
        <w:t xml:space="preserve">and </w:t>
      </w:r>
      <w:r w:rsidRPr="00F06E43">
        <w:rPr>
          <w:lang w:eastAsia="en-AU"/>
        </w:rPr>
        <w:t>a</w:t>
      </w:r>
      <w:r w:rsidR="00F06E43" w:rsidRPr="00F06E43">
        <w:rPr>
          <w:lang w:eastAsia="en-AU"/>
        </w:rPr>
        <w:t xml:space="preserve"> literature</w:t>
      </w:r>
      <w:r w:rsidR="000450F4" w:rsidRPr="00F06E43">
        <w:rPr>
          <w:lang w:eastAsia="en-AU"/>
        </w:rPr>
        <w:t xml:space="preserve"> internet search </w:t>
      </w:r>
      <w:r w:rsidRPr="00F06E43">
        <w:rPr>
          <w:lang w:eastAsia="en-AU"/>
        </w:rPr>
        <w:t>found no reports of food allergy</w:t>
      </w:r>
      <w:r w:rsidR="00F06E43" w:rsidRPr="00F06E43">
        <w:rPr>
          <w:lang w:eastAsia="en-AU"/>
        </w:rPr>
        <w:t xml:space="preserve"> arising from their consumption</w:t>
      </w:r>
      <w:r w:rsidRPr="00F06E43">
        <w:rPr>
          <w:lang w:eastAsia="en-AU"/>
        </w:rPr>
        <w:t xml:space="preserve">. </w:t>
      </w:r>
      <w:r w:rsidR="000450F4" w:rsidRPr="00F06E43">
        <w:rPr>
          <w:lang w:eastAsia="en-AU"/>
        </w:rPr>
        <w:t>The recent EFSA re-evaluation of the food additive published in 2017</w:t>
      </w:r>
      <w:r w:rsidR="002D41CF" w:rsidRPr="00F06E43">
        <w:rPr>
          <w:lang w:eastAsia="en-AU"/>
        </w:rPr>
        <w:t xml:space="preserve"> noted that soya could be a source used in the production of mono- and diglycerides of fatty acids but</w:t>
      </w:r>
      <w:r w:rsidR="000450F4" w:rsidRPr="00F06E43">
        <w:rPr>
          <w:lang w:eastAsia="en-AU"/>
        </w:rPr>
        <w:t xml:space="preserve"> did not raise any allergen</w:t>
      </w:r>
      <w:r w:rsidR="002D41CF" w:rsidRPr="00F06E43">
        <w:rPr>
          <w:lang w:eastAsia="en-AU"/>
        </w:rPr>
        <w:t>icity</w:t>
      </w:r>
      <w:r w:rsidR="000450F4" w:rsidRPr="00F06E43">
        <w:rPr>
          <w:lang w:eastAsia="en-AU"/>
        </w:rPr>
        <w:t xml:space="preserve"> concerns..  </w:t>
      </w:r>
    </w:p>
    <w:p w14:paraId="41E1DE43" w14:textId="77777777" w:rsidR="000450F4" w:rsidRPr="00F06E43" w:rsidRDefault="000450F4" w:rsidP="000450F4">
      <w:pPr>
        <w:rPr>
          <w:lang w:eastAsia="en-AU"/>
        </w:rPr>
      </w:pPr>
    </w:p>
    <w:p w14:paraId="111883BD" w14:textId="0817CAF4" w:rsidR="000450F4" w:rsidRPr="00F06E43" w:rsidRDefault="008D3B93" w:rsidP="000450F4">
      <w:pPr>
        <w:rPr>
          <w:lang w:eastAsia="en-AU"/>
        </w:rPr>
      </w:pPr>
      <w:r w:rsidRPr="00F06E43">
        <w:rPr>
          <w:lang w:eastAsia="en-AU"/>
        </w:rPr>
        <w:t>Based on the available evidence</w:t>
      </w:r>
      <w:r w:rsidR="00CC780A" w:rsidRPr="00F06E43">
        <w:rPr>
          <w:lang w:eastAsia="en-AU"/>
        </w:rPr>
        <w:t xml:space="preserve"> and taking into account</w:t>
      </w:r>
      <w:r w:rsidR="002D41CF" w:rsidRPr="00F06E43">
        <w:rPr>
          <w:lang w:eastAsia="en-AU"/>
        </w:rPr>
        <w:t xml:space="preserve"> the purification processes used during production</w:t>
      </w:r>
      <w:r w:rsidRPr="00F06E43">
        <w:rPr>
          <w:lang w:eastAsia="en-AU"/>
        </w:rPr>
        <w:t xml:space="preserve">, there are </w:t>
      </w:r>
      <w:r w:rsidR="002D41CF" w:rsidRPr="00F06E43">
        <w:rPr>
          <w:lang w:eastAsia="en-AU"/>
        </w:rPr>
        <w:t xml:space="preserve">unlikely to be </w:t>
      </w:r>
      <w:r w:rsidRPr="00F06E43">
        <w:rPr>
          <w:lang w:eastAsia="en-AU"/>
        </w:rPr>
        <w:t xml:space="preserve">allergenicity concerns related to use of the food additive, including extending its use as a glazing agent for fresh fruits and vegetables. </w:t>
      </w:r>
    </w:p>
    <w:p w14:paraId="6A1105EF" w14:textId="77777777" w:rsidR="000450F4" w:rsidRDefault="000450F4" w:rsidP="0042368D">
      <w:pPr>
        <w:rPr>
          <w:lang w:eastAsia="en-AU" w:bidi="ar-SA"/>
        </w:rPr>
      </w:pPr>
    </w:p>
    <w:p w14:paraId="09846202" w14:textId="453C7D15" w:rsidR="00060155" w:rsidRPr="0058203C" w:rsidRDefault="00060155" w:rsidP="0058203C">
      <w:pPr>
        <w:pStyle w:val="Heading1"/>
      </w:pPr>
      <w:bookmarkStart w:id="75" w:name="_Toc46487138"/>
      <w:bookmarkStart w:id="76" w:name="_Toc58251564"/>
      <w:r w:rsidRPr="0058203C">
        <w:rPr>
          <w:rStyle w:val="Heading1Char"/>
          <w:b/>
          <w:bCs/>
        </w:rPr>
        <w:t>4 Dietary Exposure Assessment</w:t>
      </w:r>
      <w:bookmarkEnd w:id="75"/>
      <w:bookmarkEnd w:id="76"/>
    </w:p>
    <w:p w14:paraId="313AE180" w14:textId="4E6A82F3" w:rsidR="00060155" w:rsidRDefault="00060155" w:rsidP="00060155">
      <w:r>
        <w:t xml:space="preserve">The objective of this dietary exposure assessment is to estimate the dietary exposure to mono- and diglycerides of fatty acids (INS 471) if applied as a glazing agent at the most conservative estimate of maximum use proposed by the applicant (152 g/100 kg produce) in the Food </w:t>
      </w:r>
      <w:r w:rsidR="007A6E8C">
        <w:t>C</w:t>
      </w:r>
      <w:r>
        <w:t>lass 4.1.2 (Surface treated fruits and vegetables).</w:t>
      </w:r>
    </w:p>
    <w:p w14:paraId="3AE9CAA9" w14:textId="77777777" w:rsidR="00060155" w:rsidRDefault="00060155" w:rsidP="00060155"/>
    <w:p w14:paraId="36108319" w14:textId="77777777" w:rsidR="00060155" w:rsidRDefault="00060155" w:rsidP="00060155">
      <w:r>
        <w:t>Dietary exposure assessments (DEA) require data on the concentration of the chemical of interest in the food requested and consumption data for the foods that have been collected through a national nutrition survey. Consumption data used for this assessment were extracted using FSANZ’s dietary computer modelling program Harvest</w:t>
      </w:r>
      <w:bookmarkStart w:id="77" w:name="_Ref45715301"/>
      <w:r>
        <w:rPr>
          <w:rStyle w:val="FootnoteReference"/>
        </w:rPr>
        <w:footnoteReference w:id="5"/>
      </w:r>
      <w:bookmarkEnd w:id="77"/>
      <w:r>
        <w:t>.</w:t>
      </w:r>
    </w:p>
    <w:p w14:paraId="3282176C" w14:textId="77777777" w:rsidR="00060155" w:rsidRDefault="00060155" w:rsidP="00060155"/>
    <w:p w14:paraId="16EE4C6A" w14:textId="550F5689" w:rsidR="00387CFD" w:rsidRDefault="00060155" w:rsidP="008E366C">
      <w:r w:rsidRPr="006647D2">
        <w:t>A summary of the general FSANZ approach to conducting the dietary exposure asses</w:t>
      </w:r>
      <w:r>
        <w:t>sment for this application is in</w:t>
      </w:r>
      <w:r w:rsidR="002774C9">
        <w:t xml:space="preserve"> </w:t>
      </w:r>
      <w:r w:rsidR="002774C9">
        <w:fldChar w:fldCharType="begin"/>
      </w:r>
      <w:r w:rsidR="002774C9">
        <w:instrText xml:space="preserve"> REF _Ref63247751 \h </w:instrText>
      </w:r>
      <w:r w:rsidR="002774C9">
        <w:fldChar w:fldCharType="separate"/>
      </w:r>
      <w:r w:rsidR="00515ADA" w:rsidRPr="009E1FF4">
        <w:t>Appendix</w:t>
      </w:r>
      <w:r w:rsidR="00515ADA" w:rsidRPr="008C2BD5">
        <w:t xml:space="preserve"> </w:t>
      </w:r>
      <w:r w:rsidR="00515ADA">
        <w:rPr>
          <w:noProof/>
        </w:rPr>
        <w:t>1</w:t>
      </w:r>
      <w:r w:rsidR="002774C9">
        <w:fldChar w:fldCharType="end"/>
      </w:r>
      <w:r w:rsidRPr="0094590F">
        <w:t>.</w:t>
      </w:r>
      <w:r>
        <w:t xml:space="preserve"> A detailed discussion of the FSANZ methodology and approach to conducting dietary exposure assessments is set out in </w:t>
      </w:r>
      <w:r w:rsidRPr="008E366C">
        <w:rPr>
          <w:i/>
        </w:rPr>
        <w:t>Principles and Practices of Dietary Exposure Assessment for Food Regulatory Purposes</w:t>
      </w:r>
      <w:r w:rsidRPr="00C509A5">
        <w:t xml:space="preserve"> (FSANZ 2009).</w:t>
      </w:r>
    </w:p>
    <w:p w14:paraId="43C94CB2" w14:textId="672E88C1" w:rsidR="00060155" w:rsidRDefault="00060155" w:rsidP="008E366C"/>
    <w:p w14:paraId="613218E7" w14:textId="37F62666" w:rsidR="00060155" w:rsidRPr="00C90132" w:rsidRDefault="00060155" w:rsidP="009E1FF4">
      <w:pPr>
        <w:pStyle w:val="Heading2"/>
      </w:pPr>
      <w:bookmarkStart w:id="78" w:name="_Toc46487139"/>
      <w:bookmarkStart w:id="79" w:name="_Toc58251565"/>
      <w:r>
        <w:lastRenderedPageBreak/>
        <w:t>4.1 D</w:t>
      </w:r>
      <w:r w:rsidRPr="00C90132">
        <w:t>ietary exposure assessment</w:t>
      </w:r>
      <w:r>
        <w:t xml:space="preserve"> methodology</w:t>
      </w:r>
      <w:bookmarkEnd w:id="78"/>
      <w:bookmarkEnd w:id="79"/>
    </w:p>
    <w:p w14:paraId="59F248B5" w14:textId="06B8BA78" w:rsidR="00060155" w:rsidRDefault="00060155" w:rsidP="00060155">
      <w:r>
        <w:t xml:space="preserve">Dietary exposure assessments at FSANZ are conducted using a tiered approach. The hazard assessment concluded that </w:t>
      </w:r>
      <w:r>
        <w:rPr>
          <w:lang w:eastAsia="en-AU"/>
        </w:rPr>
        <w:t xml:space="preserve">mono-and diglycerides of fatty acids, including those in INS 471, do not differ significantly from dietary lipids and a numerical ADI is not required. Therefore, </w:t>
      </w:r>
      <w:r>
        <w:t xml:space="preserve">a deterministic DEA was conducted by FSANZ, with estimated exposure compared to total fat intake in order to estimate the potential proportional increase in fat intake from the application of </w:t>
      </w:r>
      <w:r w:rsidR="00267364">
        <w:t>mono- and diglycerides of fatty acids</w:t>
      </w:r>
      <w:r>
        <w:t xml:space="preserve"> as a glazing agent on fruits and vegetables at the most conservative estimate of maximum use as proposed by the applicant.</w:t>
      </w:r>
    </w:p>
    <w:p w14:paraId="3EDC2C15" w14:textId="77777777" w:rsidR="00060155" w:rsidRDefault="00060155" w:rsidP="00060155"/>
    <w:p w14:paraId="1F9403CA" w14:textId="40AA297B" w:rsidR="00060155" w:rsidRDefault="00060155" w:rsidP="00060155">
      <w:r>
        <w:t>Food</w:t>
      </w:r>
      <w:r w:rsidR="003065F2">
        <w:t xml:space="preserve"> </w:t>
      </w:r>
      <w:r w:rsidR="003065F2" w:rsidDel="008E366C">
        <w:t>C</w:t>
      </w:r>
      <w:r>
        <w:t xml:space="preserve">lass 4 Fruits and Vegetables includes fungi, nuts, seeds, herbs and spices, therefore these foods were included in the dietary exposure assessment. Food </w:t>
      </w:r>
      <w:r w:rsidR="008E366C">
        <w:t>c</w:t>
      </w:r>
      <w:r>
        <w:t xml:space="preserve">lasses for which </w:t>
      </w:r>
      <w:r w:rsidR="00267364">
        <w:t>mono- and diglycerides of fatty acids</w:t>
      </w:r>
      <w:r>
        <w:t xml:space="preserve"> </w:t>
      </w:r>
      <w:r w:rsidR="0010310C">
        <w:t>are</w:t>
      </w:r>
      <w:r>
        <w:t xml:space="preserve"> currently permitted at GMP and naturally occurring sources were not included in the estimates of dietary exposures to mono- and glycerides of fatty acids. As food additive permissions in the Code apply to both Australia and New Zealand, dietary exposure assessments were undertaken for both countries.</w:t>
      </w:r>
    </w:p>
    <w:p w14:paraId="0C620DEA" w14:textId="77777777" w:rsidR="00060155" w:rsidRDefault="00060155" w:rsidP="00060155"/>
    <w:p w14:paraId="28BC7FF5" w14:textId="38204D2A" w:rsidR="00060155" w:rsidRDefault="00060155" w:rsidP="009E1FF4">
      <w:pPr>
        <w:pStyle w:val="Heading2"/>
      </w:pPr>
      <w:bookmarkStart w:id="80" w:name="_Toc46487140"/>
      <w:bookmarkStart w:id="81" w:name="_Toc58251566"/>
      <w:r>
        <w:t>4.2 Food consumption data used</w:t>
      </w:r>
      <w:bookmarkEnd w:id="80"/>
      <w:bookmarkEnd w:id="81"/>
    </w:p>
    <w:p w14:paraId="6285AB73" w14:textId="77777777" w:rsidR="00060155" w:rsidRPr="00633236" w:rsidRDefault="00060155" w:rsidP="00060155">
      <w:pPr>
        <w:keepNext/>
        <w:keepLines/>
        <w:rPr>
          <w:rFonts w:cs="Arial"/>
        </w:rPr>
      </w:pPr>
      <w:r w:rsidRPr="00633236">
        <w:rPr>
          <w:rFonts w:cs="Arial"/>
        </w:rPr>
        <w:t xml:space="preserve">The food </w:t>
      </w:r>
      <w:r>
        <w:rPr>
          <w:rFonts w:cs="Arial"/>
        </w:rPr>
        <w:t>consumption</w:t>
      </w:r>
      <w:r w:rsidRPr="00633236">
        <w:rPr>
          <w:rFonts w:cs="Arial"/>
        </w:rPr>
        <w:t xml:space="preserve"> data us</w:t>
      </w:r>
      <w:r>
        <w:rPr>
          <w:rFonts w:cs="Arial"/>
        </w:rPr>
        <w:t>ed for the dietary exposure</w:t>
      </w:r>
      <w:r w:rsidRPr="00633236">
        <w:rPr>
          <w:rFonts w:cs="Arial"/>
        </w:rPr>
        <w:t xml:space="preserve"> assessments were:</w:t>
      </w:r>
    </w:p>
    <w:p w14:paraId="3D0F45A0" w14:textId="46D72CB2" w:rsidR="00060155" w:rsidRPr="00633236" w:rsidRDefault="00060155" w:rsidP="00060155">
      <w:pPr>
        <w:pStyle w:val="FSBullet1"/>
        <w:spacing w:before="100" w:beforeAutospacing="1" w:after="120"/>
        <w:ind w:left="928" w:hanging="360"/>
      </w:pPr>
      <w:r w:rsidRPr="00633236">
        <w:t>2002 New Zealand National Children’s Nutrition Survey (2002 NZ CNS)</w:t>
      </w:r>
      <w:r>
        <w:t xml:space="preserve"> </w:t>
      </w:r>
      <w:r>
        <w:rPr>
          <w:lang w:eastAsia="en-AU"/>
        </w:rPr>
        <w:t>(Ministry of Health 2005)</w:t>
      </w:r>
    </w:p>
    <w:p w14:paraId="0DEEE5B7" w14:textId="40EB492F" w:rsidR="00060155" w:rsidRPr="00633236" w:rsidRDefault="00060155" w:rsidP="00060155">
      <w:pPr>
        <w:pStyle w:val="FSBullet1"/>
        <w:spacing w:before="100" w:beforeAutospacing="1" w:after="60"/>
        <w:ind w:left="928" w:hanging="360"/>
      </w:pPr>
      <w:r w:rsidRPr="00633236">
        <w:t>2008</w:t>
      </w:r>
      <w:r>
        <w:t>-09</w:t>
      </w:r>
      <w:r w:rsidRPr="00633236">
        <w:t xml:space="preserve"> New Zealand Adult Nutrition Survey (2008 NZ ANS)</w:t>
      </w:r>
      <w:r>
        <w:t xml:space="preserve"> </w:t>
      </w:r>
      <w:r w:rsidR="003C1BAF">
        <w:t>(Ministry of Health 2011 a,b)</w:t>
      </w:r>
    </w:p>
    <w:p w14:paraId="20EF681C" w14:textId="0BE2B0AA" w:rsidR="00060155" w:rsidRDefault="00060155" w:rsidP="00060155">
      <w:pPr>
        <w:pStyle w:val="FSBullet1"/>
        <w:spacing w:before="100" w:beforeAutospacing="1" w:after="60"/>
        <w:ind w:left="928" w:hanging="360"/>
      </w:pPr>
      <w:r w:rsidRPr="00633236">
        <w:t>2011-12 Australian National Nutrition and Physical Activity Survey (2011-12 NNPAS)</w:t>
      </w:r>
      <w:r w:rsidR="003C1BAF">
        <w:t xml:space="preserve"> (ABS 2015)</w:t>
      </w:r>
      <w:r>
        <w:t>.</w:t>
      </w:r>
    </w:p>
    <w:p w14:paraId="1B79D0B7" w14:textId="77777777" w:rsidR="00060155" w:rsidRDefault="00060155" w:rsidP="00060155"/>
    <w:p w14:paraId="2B48CE74" w14:textId="3E25E90A" w:rsidR="00060155" w:rsidRDefault="00060155" w:rsidP="00060155">
      <w:r w:rsidRPr="00633236">
        <w:t xml:space="preserve">The design of these nutrition surveys vary and the key attributes of each, including survey limitations, are set </w:t>
      </w:r>
      <w:r w:rsidRPr="004D4051">
        <w:t>out in</w:t>
      </w:r>
      <w:r w:rsidR="002774C9">
        <w:t xml:space="preserve"> </w:t>
      </w:r>
      <w:r w:rsidR="002774C9">
        <w:fldChar w:fldCharType="begin"/>
      </w:r>
      <w:r w:rsidR="002774C9">
        <w:instrText xml:space="preserve"> REF _Ref63247751 \h </w:instrText>
      </w:r>
      <w:r w:rsidR="002774C9">
        <w:fldChar w:fldCharType="separate"/>
      </w:r>
      <w:r w:rsidR="00515ADA" w:rsidRPr="009E1FF4">
        <w:t>Appendix</w:t>
      </w:r>
      <w:r w:rsidR="00515ADA" w:rsidRPr="008C2BD5">
        <w:t xml:space="preserve"> </w:t>
      </w:r>
      <w:r w:rsidR="00515ADA">
        <w:rPr>
          <w:noProof/>
        </w:rPr>
        <w:t>1</w:t>
      </w:r>
      <w:r w:rsidR="002774C9">
        <w:fldChar w:fldCharType="end"/>
      </w:r>
      <w:r>
        <w:t xml:space="preserve">. </w:t>
      </w:r>
      <w:r w:rsidRPr="00633236">
        <w:t>Where significant uncertainties in the data exist, FSANZ uses conservative assumptions to ensure t</w:t>
      </w:r>
      <w:r>
        <w:t>hat the estimated dietary exposure</w:t>
      </w:r>
      <w:r w:rsidRPr="00633236">
        <w:t xml:space="preserve"> is not an underestimate.</w:t>
      </w:r>
      <w:r>
        <w:t xml:space="preserve"> </w:t>
      </w:r>
      <w:r w:rsidRPr="00633236">
        <w:t>Assump</w:t>
      </w:r>
      <w:r>
        <w:t>tions made in the dietary exposure assessment are also set out in</w:t>
      </w:r>
      <w:r w:rsidR="002774C9">
        <w:t xml:space="preserve"> </w:t>
      </w:r>
      <w:r w:rsidR="002774C9">
        <w:fldChar w:fldCharType="begin"/>
      </w:r>
      <w:r w:rsidR="002774C9">
        <w:instrText xml:space="preserve"> REF _Ref63247751 \h </w:instrText>
      </w:r>
      <w:r w:rsidR="002774C9">
        <w:fldChar w:fldCharType="separate"/>
      </w:r>
      <w:r w:rsidR="00515ADA" w:rsidRPr="009E1FF4">
        <w:t>Appendix</w:t>
      </w:r>
      <w:r w:rsidR="00515ADA" w:rsidRPr="008C2BD5">
        <w:t xml:space="preserve"> </w:t>
      </w:r>
      <w:r w:rsidR="00515ADA">
        <w:rPr>
          <w:noProof/>
        </w:rPr>
        <w:t>1</w:t>
      </w:r>
      <w:r w:rsidR="002774C9">
        <w:fldChar w:fldCharType="end"/>
      </w:r>
      <w:r>
        <w:t>.</w:t>
      </w:r>
    </w:p>
    <w:p w14:paraId="2325070B" w14:textId="77777777" w:rsidR="00060155" w:rsidRDefault="00060155" w:rsidP="00060155"/>
    <w:p w14:paraId="5E8BEEBC" w14:textId="5C30AC6B" w:rsidR="00060155" w:rsidRDefault="00060155" w:rsidP="00060155">
      <w:r>
        <w:t>The hazard assessment did not identify any target or at-risk groups for which there were specific safety considerations in relation to exposure to mono- and diglycerides of fatty acids. In addition, the food c</w:t>
      </w:r>
      <w:r w:rsidR="007A6E8C">
        <w:t>lass</w:t>
      </w:r>
      <w:r>
        <w:t xml:space="preserve"> requested in the application for the addition of mono- and diglycerides of fatty acids is consumed by all age groups of the Australian and New Zealand populations. Therefore the dietary exposure assessments </w:t>
      </w:r>
      <w:r>
        <w:lastRenderedPageBreak/>
        <w:t xml:space="preserve">were conducted for the general Australian and New Zealand populations based on day 1 of the dietary survey data available. </w:t>
      </w:r>
      <w:r w:rsidRPr="00633236">
        <w:t>For Australia, the</w:t>
      </w:r>
      <w:r>
        <w:t xml:space="preserve"> population group used for the dietary exposure </w:t>
      </w:r>
      <w:r w:rsidRPr="00633236">
        <w:t xml:space="preserve">assessment </w:t>
      </w:r>
      <w:r>
        <w:t>was the population aged 2 years and above. For New Zealand the population groups were children (aged 5-14 years) and adults (aged 15 years and above).</w:t>
      </w:r>
    </w:p>
    <w:p w14:paraId="2DEB3C25" w14:textId="77777777" w:rsidR="00387CFD" w:rsidRDefault="00387CFD" w:rsidP="00060155"/>
    <w:p w14:paraId="304DEFE6" w14:textId="553AF647" w:rsidR="00060155" w:rsidRPr="009177CF" w:rsidRDefault="00060155" w:rsidP="009E1FF4">
      <w:pPr>
        <w:pStyle w:val="Heading2"/>
      </w:pPr>
      <w:bookmarkStart w:id="82" w:name="_Toc46487141"/>
      <w:bookmarkStart w:id="83" w:name="_Toc58251567"/>
      <w:r>
        <w:rPr>
          <w:rStyle w:val="Heading2Char"/>
          <w:b/>
          <w:bCs/>
        </w:rPr>
        <w:t>4.3</w:t>
      </w:r>
      <w:r w:rsidRPr="009177CF">
        <w:rPr>
          <w:rStyle w:val="Heading2Char"/>
          <w:b/>
          <w:bCs/>
        </w:rPr>
        <w:t xml:space="preserve"> Dietary Exposure Assessment Results</w:t>
      </w:r>
      <w:bookmarkEnd w:id="82"/>
      <w:bookmarkEnd w:id="83"/>
    </w:p>
    <w:p w14:paraId="38F925BE" w14:textId="3998BE9C" w:rsidR="00060155" w:rsidRDefault="00060155" w:rsidP="00060155">
      <w:r>
        <w:t>The mean consumption of food groups according to nutrition survey categorisation for Australia (</w:t>
      </w:r>
      <w:r w:rsidR="00432728">
        <w:t>‘</w:t>
      </w:r>
      <w:r>
        <w:t>fruit products and dishes</w:t>
      </w:r>
      <w:r w:rsidR="00432728">
        <w:t>’</w:t>
      </w:r>
      <w:r>
        <w:t xml:space="preserve">, </w:t>
      </w:r>
      <w:r w:rsidR="00432728">
        <w:t>‘</w:t>
      </w:r>
      <w:r>
        <w:t>vegetable products and dishes</w:t>
      </w:r>
      <w:r w:rsidR="00432728">
        <w:t>’</w:t>
      </w:r>
      <w:r w:rsidR="0010310C">
        <w:t>,</w:t>
      </w:r>
      <w:r>
        <w:t xml:space="preserve"> </w:t>
      </w:r>
      <w:r w:rsidR="00432728">
        <w:t>‘</w:t>
      </w:r>
      <w:r>
        <w:t>seed and nut products and dishes</w:t>
      </w:r>
      <w:r w:rsidR="00432728">
        <w:t>’</w:t>
      </w:r>
      <w:r>
        <w:t>) and New Zealand (</w:t>
      </w:r>
      <w:r w:rsidR="00432728">
        <w:t>‘</w:t>
      </w:r>
      <w:r>
        <w:t>fruit</w:t>
      </w:r>
      <w:r w:rsidR="00432728">
        <w:t>’</w:t>
      </w:r>
      <w:r>
        <w:t xml:space="preserve">, </w:t>
      </w:r>
      <w:r w:rsidR="00432728">
        <w:t>‘</w:t>
      </w:r>
      <w:r>
        <w:t>nuts and seeds</w:t>
      </w:r>
      <w:r w:rsidR="00432728">
        <w:t>’</w:t>
      </w:r>
      <w:r>
        <w:t xml:space="preserve">, </w:t>
      </w:r>
      <w:r w:rsidR="00432728">
        <w:t>‘</w:t>
      </w:r>
      <w:r>
        <w:t>vegetables</w:t>
      </w:r>
      <w:r w:rsidR="00432728">
        <w:t>’</w:t>
      </w:r>
      <w:r w:rsidR="0010310C">
        <w:t xml:space="preserve"> (excluding potatoes, kumara and taro)</w:t>
      </w:r>
      <w:r>
        <w:t xml:space="preserve">, </w:t>
      </w:r>
      <w:r w:rsidR="00432728">
        <w:t>‘</w:t>
      </w:r>
      <w:r>
        <w:t>potatoes, kumara and taro</w:t>
      </w:r>
      <w:r w:rsidR="00432728">
        <w:t>’</w:t>
      </w:r>
      <w:r>
        <w:t xml:space="preserve">), along with mean total fat intake by respondents to the surveys are detailed in </w:t>
      </w:r>
      <w:r w:rsidR="003233A6" w:rsidRPr="003233A6">
        <w:fldChar w:fldCharType="begin"/>
      </w:r>
      <w:r w:rsidR="003233A6" w:rsidRPr="003233A6">
        <w:instrText xml:space="preserve"> REF _Ref48291705 \h </w:instrText>
      </w:r>
      <w:r w:rsidR="003233A6" w:rsidRPr="00E164D3">
        <w:instrText xml:space="preserve"> \* MERGEFORMAT </w:instrText>
      </w:r>
      <w:r w:rsidR="003233A6" w:rsidRPr="003233A6">
        <w:fldChar w:fldCharType="separate"/>
      </w:r>
      <w:r w:rsidR="00515ADA" w:rsidRPr="00515ADA">
        <w:rPr>
          <w:szCs w:val="22"/>
        </w:rPr>
        <w:t xml:space="preserve">Table </w:t>
      </w:r>
      <w:r w:rsidR="00515ADA" w:rsidRPr="00515ADA">
        <w:rPr>
          <w:noProof/>
          <w:szCs w:val="22"/>
        </w:rPr>
        <w:t>5</w:t>
      </w:r>
      <w:r w:rsidR="003233A6" w:rsidRPr="003233A6">
        <w:fldChar w:fldCharType="end"/>
      </w:r>
      <w:r w:rsidR="003233A6" w:rsidRPr="003233A6">
        <w:t xml:space="preserve"> </w:t>
      </w:r>
      <w:r w:rsidR="00C01C21" w:rsidRPr="003233A6">
        <w:t>for Australia and</w:t>
      </w:r>
      <w:r w:rsidR="006B2A3A" w:rsidRPr="003233A6">
        <w:t xml:space="preserve"> </w:t>
      </w:r>
      <w:r w:rsidR="003233A6" w:rsidRPr="003233A6">
        <w:fldChar w:fldCharType="begin"/>
      </w:r>
      <w:r w:rsidR="003233A6" w:rsidRPr="003233A6">
        <w:instrText xml:space="preserve"> REF _Ref48291721 \h </w:instrText>
      </w:r>
      <w:r w:rsidR="003233A6" w:rsidRPr="00E164D3">
        <w:instrText xml:space="preserve"> \* MERGEFORMAT </w:instrText>
      </w:r>
      <w:r w:rsidR="003233A6" w:rsidRPr="003233A6">
        <w:fldChar w:fldCharType="separate"/>
      </w:r>
      <w:r w:rsidR="00515ADA" w:rsidRPr="00515ADA">
        <w:rPr>
          <w:szCs w:val="22"/>
        </w:rPr>
        <w:t xml:space="preserve">Table </w:t>
      </w:r>
      <w:r w:rsidR="00515ADA" w:rsidRPr="00515ADA">
        <w:rPr>
          <w:noProof/>
          <w:szCs w:val="22"/>
        </w:rPr>
        <w:t>6</w:t>
      </w:r>
      <w:r w:rsidR="003233A6" w:rsidRPr="003233A6">
        <w:fldChar w:fldCharType="end"/>
      </w:r>
      <w:r w:rsidR="00C01C21">
        <w:t xml:space="preserve"> for New Zealand</w:t>
      </w:r>
      <w:r w:rsidRPr="0094590F">
        <w:t xml:space="preserve">. </w:t>
      </w:r>
      <w:r>
        <w:t>Total estimated mean</w:t>
      </w:r>
      <w:r w:rsidR="005879E0">
        <w:t xml:space="preserve"> dietary</w:t>
      </w:r>
      <w:r>
        <w:t xml:space="preserve"> exposures to </w:t>
      </w:r>
      <w:r w:rsidR="00267364">
        <w:t>mono- and diglycerides of fatty acids</w:t>
      </w:r>
      <w:r>
        <w:t xml:space="preserve"> if applied to these foods range from 468 mg/</w:t>
      </w:r>
      <w:r w:rsidR="000D7A51">
        <w:t>respondent</w:t>
      </w:r>
      <w:r>
        <w:t>/day to 633 mg/</w:t>
      </w:r>
      <w:r w:rsidR="000D7A51">
        <w:t>respondent</w:t>
      </w:r>
      <w:r>
        <w:t xml:space="preserve">/day for the population groups assessed. This represents 0.6-0.8% of mean total fat </w:t>
      </w:r>
      <w:r w:rsidR="005879E0">
        <w:t xml:space="preserve">intake </w:t>
      </w:r>
      <w:r>
        <w:t>for respondents in the surveys which is within normal daily variation.</w:t>
      </w:r>
    </w:p>
    <w:p w14:paraId="4929C609" w14:textId="77777777" w:rsidR="00060155" w:rsidRDefault="00060155" w:rsidP="00060155"/>
    <w:p w14:paraId="629F2334" w14:textId="77777777" w:rsidR="00060155" w:rsidRDefault="00060155" w:rsidP="00060155">
      <w:pPr>
        <w:sectPr w:rsidR="00060155" w:rsidSect="00DF2644">
          <w:pgSz w:w="11906" w:h="16838"/>
          <w:pgMar w:top="1418" w:right="1418" w:bottom="1418" w:left="1418" w:header="709" w:footer="709" w:gutter="0"/>
          <w:cols w:space="708"/>
          <w:docGrid w:linePitch="360"/>
        </w:sectPr>
      </w:pPr>
    </w:p>
    <w:p w14:paraId="0A7AB1D4" w14:textId="7188E13C" w:rsidR="005B6472" w:rsidRPr="005979D0" w:rsidRDefault="006B2A3A" w:rsidP="00D45F3C">
      <w:pPr>
        <w:pStyle w:val="Caption"/>
        <w:ind w:left="1134" w:hanging="1134"/>
        <w:rPr>
          <w:b/>
          <w:color w:val="auto"/>
          <w:sz w:val="22"/>
          <w:szCs w:val="22"/>
        </w:rPr>
      </w:pPr>
      <w:bookmarkStart w:id="84" w:name="_Ref48221456"/>
      <w:bookmarkStart w:id="85" w:name="_Ref48291705"/>
      <w:bookmarkStart w:id="86" w:name="_Ref44867559"/>
      <w:r w:rsidRPr="00E164D3">
        <w:rPr>
          <w:b/>
          <w:color w:val="auto"/>
          <w:sz w:val="22"/>
          <w:szCs w:val="22"/>
        </w:rPr>
        <w:lastRenderedPageBreak/>
        <w:t xml:space="preserve">Table </w:t>
      </w:r>
      <w:r w:rsidRPr="00E164D3">
        <w:rPr>
          <w:b/>
          <w:color w:val="auto"/>
          <w:sz w:val="22"/>
          <w:szCs w:val="22"/>
        </w:rPr>
        <w:fldChar w:fldCharType="begin"/>
      </w:r>
      <w:r>
        <w:rPr>
          <w:b/>
          <w:i w:val="0"/>
          <w:color w:val="auto"/>
          <w:sz w:val="22"/>
          <w:szCs w:val="22"/>
        </w:rPr>
        <w:instrText xml:space="preserve"> SEQ Table \* ARABIC </w:instrText>
      </w:r>
      <w:r w:rsidRPr="00E164D3">
        <w:rPr>
          <w:b/>
          <w:color w:val="auto"/>
          <w:sz w:val="22"/>
          <w:szCs w:val="22"/>
        </w:rPr>
        <w:fldChar w:fldCharType="separate"/>
      </w:r>
      <w:r w:rsidR="00515ADA">
        <w:rPr>
          <w:b/>
          <w:i w:val="0"/>
          <w:noProof/>
          <w:color w:val="auto"/>
          <w:sz w:val="22"/>
          <w:szCs w:val="22"/>
        </w:rPr>
        <w:t>5</w:t>
      </w:r>
      <w:r w:rsidRPr="00E164D3">
        <w:rPr>
          <w:b/>
          <w:color w:val="auto"/>
          <w:sz w:val="22"/>
          <w:szCs w:val="22"/>
        </w:rPr>
        <w:fldChar w:fldCharType="end"/>
      </w:r>
      <w:bookmarkEnd w:id="84"/>
      <w:bookmarkEnd w:id="85"/>
      <w:r w:rsidR="005B6472">
        <w:rPr>
          <w:b/>
          <w:color w:val="auto"/>
          <w:sz w:val="22"/>
          <w:szCs w:val="22"/>
        </w:rPr>
        <w:tab/>
      </w:r>
      <w:r w:rsidR="005B6472" w:rsidRPr="00D028CA">
        <w:rPr>
          <w:color w:val="auto"/>
          <w:sz w:val="22"/>
          <w:szCs w:val="22"/>
        </w:rPr>
        <w:t>Estimated dietary exposures to</w:t>
      </w:r>
      <w:r w:rsidR="005B6472" w:rsidRPr="00267364">
        <w:rPr>
          <w:color w:val="auto"/>
          <w:sz w:val="22"/>
          <w:szCs w:val="22"/>
        </w:rPr>
        <w:t xml:space="preserve"> </w:t>
      </w:r>
      <w:r w:rsidR="005B6472" w:rsidRPr="00D028CA">
        <w:rPr>
          <w:color w:val="auto"/>
          <w:sz w:val="22"/>
          <w:szCs w:val="22"/>
        </w:rPr>
        <w:t xml:space="preserve">mono- and diglycerides of fatty acids from use as a glazing agent on fruits and vegetables for </w:t>
      </w:r>
      <w:r w:rsidR="005B6472">
        <w:rPr>
          <w:color w:val="auto"/>
          <w:sz w:val="22"/>
          <w:szCs w:val="22"/>
        </w:rPr>
        <w:t xml:space="preserve">Australian </w:t>
      </w:r>
      <w:r w:rsidR="005B6472" w:rsidRPr="00D028CA">
        <w:rPr>
          <w:color w:val="auto"/>
          <w:sz w:val="22"/>
          <w:szCs w:val="22"/>
        </w:rPr>
        <w:t xml:space="preserve">respondents and percentage of mean total fat </w:t>
      </w:r>
      <w:r w:rsidR="005B6472">
        <w:rPr>
          <w:color w:val="auto"/>
          <w:sz w:val="22"/>
          <w:szCs w:val="22"/>
        </w:rPr>
        <w:t>intake</w:t>
      </w:r>
    </w:p>
    <w:tbl>
      <w:tblPr>
        <w:tblStyle w:val="TableGrid"/>
        <w:tblW w:w="0" w:type="auto"/>
        <w:jc w:val="center"/>
        <w:tblLook w:val="04A0" w:firstRow="1" w:lastRow="0" w:firstColumn="1" w:lastColumn="0" w:noHBand="0" w:noVBand="1"/>
        <w:tblCaption w:val="Estimated dietary exposures to mono and diglycerides of fatty acids from use as a glazing agent on fruits and vegetables for Australian and New Zealand respondents and percentage of mean total fat consumption"/>
        <w:tblDescription w:val="Estimated dietary exposures to mono and diglycerides of fatty acids from use as a glazing agent on fruits and vegetables for Australian respondents and percentage of mean total fat consumption"/>
      </w:tblPr>
      <w:tblGrid>
        <w:gridCol w:w="977"/>
        <w:gridCol w:w="880"/>
        <w:gridCol w:w="831"/>
        <w:gridCol w:w="1130"/>
        <w:gridCol w:w="1249"/>
        <w:gridCol w:w="1303"/>
        <w:gridCol w:w="3005"/>
        <w:gridCol w:w="2179"/>
        <w:gridCol w:w="2438"/>
      </w:tblGrid>
      <w:tr w:rsidR="005B6472" w14:paraId="454E2F69" w14:textId="77777777" w:rsidTr="006B2A3A">
        <w:trPr>
          <w:tblHeader/>
          <w:jc w:val="center"/>
        </w:trPr>
        <w:tc>
          <w:tcPr>
            <w:tcW w:w="0" w:type="auto"/>
            <w:vMerge w:val="restart"/>
            <w:shd w:val="clear" w:color="auto" w:fill="9BBB59" w:themeFill="accent3"/>
          </w:tcPr>
          <w:p w14:paraId="2004C186" w14:textId="77777777" w:rsidR="005B6472" w:rsidRPr="005979D0" w:rsidRDefault="005B6472" w:rsidP="006B2A3A">
            <w:pPr>
              <w:jc w:val="center"/>
              <w:rPr>
                <w:color w:val="FFFFFF" w:themeColor="background1"/>
                <w:sz w:val="18"/>
                <w:szCs w:val="18"/>
              </w:rPr>
            </w:pPr>
            <w:r w:rsidRPr="005979D0">
              <w:rPr>
                <w:color w:val="FFFFFF" w:themeColor="background1"/>
                <w:sz w:val="18"/>
                <w:szCs w:val="18"/>
              </w:rPr>
              <w:t>Country</w:t>
            </w:r>
          </w:p>
        </w:tc>
        <w:tc>
          <w:tcPr>
            <w:tcW w:w="0" w:type="auto"/>
            <w:vMerge w:val="restart"/>
            <w:shd w:val="clear" w:color="auto" w:fill="9BBB59" w:themeFill="accent3"/>
          </w:tcPr>
          <w:p w14:paraId="7180EB4C" w14:textId="77777777" w:rsidR="005B6472" w:rsidRPr="005979D0" w:rsidRDefault="005B6472" w:rsidP="006B2A3A">
            <w:pPr>
              <w:jc w:val="center"/>
              <w:rPr>
                <w:color w:val="FFFFFF" w:themeColor="background1"/>
                <w:sz w:val="18"/>
                <w:szCs w:val="18"/>
              </w:rPr>
            </w:pPr>
            <w:r w:rsidRPr="005979D0">
              <w:rPr>
                <w:color w:val="FFFFFF" w:themeColor="background1"/>
                <w:sz w:val="18"/>
                <w:szCs w:val="18"/>
              </w:rPr>
              <w:t>Age Group</w:t>
            </w:r>
          </w:p>
        </w:tc>
        <w:tc>
          <w:tcPr>
            <w:tcW w:w="0" w:type="auto"/>
            <w:vMerge w:val="restart"/>
            <w:shd w:val="clear" w:color="auto" w:fill="9BBB59" w:themeFill="accent3"/>
          </w:tcPr>
          <w:p w14:paraId="79CFB698" w14:textId="77777777" w:rsidR="005B6472" w:rsidRPr="005979D0" w:rsidRDefault="005B6472" w:rsidP="006B2A3A">
            <w:pPr>
              <w:jc w:val="center"/>
              <w:rPr>
                <w:color w:val="FFFFFF" w:themeColor="background1"/>
                <w:sz w:val="18"/>
                <w:szCs w:val="18"/>
              </w:rPr>
            </w:pPr>
            <w:r w:rsidRPr="00E63CF4">
              <w:rPr>
                <w:rFonts w:cs="Arial"/>
                <w:color w:val="FFFFFF" w:themeColor="background1"/>
                <w:sz w:val="18"/>
                <w:szCs w:val="18"/>
              </w:rPr>
              <w:t>No. of resp.</w:t>
            </w:r>
          </w:p>
        </w:tc>
        <w:tc>
          <w:tcPr>
            <w:tcW w:w="0" w:type="auto"/>
            <w:gridSpan w:val="3"/>
            <w:shd w:val="clear" w:color="auto" w:fill="9BBB59" w:themeFill="accent3"/>
          </w:tcPr>
          <w:p w14:paraId="309CEC51" w14:textId="4FE34B4D" w:rsidR="005B6472" w:rsidRDefault="005B6472" w:rsidP="006B2A3A">
            <w:pPr>
              <w:jc w:val="center"/>
              <w:rPr>
                <w:color w:val="FFFFFF" w:themeColor="background1"/>
                <w:sz w:val="18"/>
                <w:szCs w:val="18"/>
              </w:rPr>
            </w:pPr>
            <w:r>
              <w:rPr>
                <w:color w:val="FFFFFF" w:themeColor="background1"/>
                <w:sz w:val="18"/>
                <w:szCs w:val="18"/>
              </w:rPr>
              <w:t>Survey Food Group</w:t>
            </w:r>
            <w:r w:rsidR="000B1A2C" w:rsidRPr="00CD413B">
              <w:rPr>
                <w:rFonts w:cs="Arial"/>
                <w:color w:val="FFFFFF" w:themeColor="background1"/>
                <w:sz w:val="18"/>
                <w:szCs w:val="18"/>
                <w:vertAlign w:val="superscript"/>
              </w:rPr>
              <w:t>¥</w:t>
            </w:r>
          </w:p>
          <w:p w14:paraId="0F22A616" w14:textId="77777777" w:rsidR="005B6472" w:rsidRDefault="005B6472" w:rsidP="006B2A3A">
            <w:pPr>
              <w:jc w:val="center"/>
              <w:rPr>
                <w:color w:val="FFFFFF" w:themeColor="background1"/>
                <w:sz w:val="18"/>
                <w:szCs w:val="18"/>
              </w:rPr>
            </w:pPr>
            <w:r>
              <w:rPr>
                <w:color w:val="FFFFFF" w:themeColor="background1"/>
                <w:sz w:val="18"/>
                <w:szCs w:val="18"/>
              </w:rPr>
              <w:t>M</w:t>
            </w:r>
            <w:r w:rsidRPr="005979D0">
              <w:rPr>
                <w:color w:val="FFFFFF" w:themeColor="background1"/>
                <w:sz w:val="18"/>
                <w:szCs w:val="18"/>
              </w:rPr>
              <w:t>ean</w:t>
            </w:r>
            <w:r>
              <w:rPr>
                <w:color w:val="FFFFFF" w:themeColor="background1"/>
                <w:sz w:val="18"/>
                <w:szCs w:val="18"/>
              </w:rPr>
              <w:t xml:space="preserve"> consumption (</w:t>
            </w:r>
            <w:r w:rsidRPr="005979D0">
              <w:rPr>
                <w:color w:val="FFFFFF" w:themeColor="background1"/>
                <w:sz w:val="18"/>
                <w:szCs w:val="18"/>
              </w:rPr>
              <w:t>g/</w:t>
            </w:r>
            <w:r>
              <w:rPr>
                <w:color w:val="FFFFFF" w:themeColor="background1"/>
                <w:sz w:val="18"/>
                <w:szCs w:val="18"/>
              </w:rPr>
              <w:t>respondent/</w:t>
            </w:r>
            <w:r w:rsidRPr="005979D0">
              <w:rPr>
                <w:color w:val="FFFFFF" w:themeColor="background1"/>
                <w:sz w:val="18"/>
                <w:szCs w:val="18"/>
              </w:rPr>
              <w:t>day)</w:t>
            </w:r>
          </w:p>
          <w:p w14:paraId="3F4A587C" w14:textId="77777777" w:rsidR="005B6472" w:rsidRPr="005979D0" w:rsidRDefault="005B6472" w:rsidP="006B2A3A">
            <w:pPr>
              <w:jc w:val="center"/>
              <w:rPr>
                <w:color w:val="FFFFFF" w:themeColor="background1"/>
                <w:sz w:val="18"/>
                <w:szCs w:val="18"/>
              </w:rPr>
            </w:pPr>
          </w:p>
        </w:tc>
        <w:tc>
          <w:tcPr>
            <w:tcW w:w="0" w:type="auto"/>
            <w:vMerge w:val="restart"/>
            <w:shd w:val="clear" w:color="auto" w:fill="9BBB59" w:themeFill="accent3"/>
          </w:tcPr>
          <w:p w14:paraId="22315342" w14:textId="77777777" w:rsidR="005B6472" w:rsidRPr="005979D0" w:rsidRDefault="005B6472" w:rsidP="006B2A3A">
            <w:pPr>
              <w:jc w:val="center"/>
              <w:rPr>
                <w:color w:val="FFFFFF" w:themeColor="background1"/>
                <w:sz w:val="18"/>
                <w:szCs w:val="18"/>
              </w:rPr>
            </w:pPr>
            <w:r>
              <w:rPr>
                <w:color w:val="FFFFFF" w:themeColor="background1"/>
                <w:sz w:val="18"/>
                <w:szCs w:val="18"/>
              </w:rPr>
              <w:t>Estimated</w:t>
            </w:r>
            <w:r w:rsidRPr="005979D0">
              <w:rPr>
                <w:color w:val="FFFFFF" w:themeColor="background1"/>
                <w:sz w:val="18"/>
                <w:szCs w:val="18"/>
              </w:rPr>
              <w:t xml:space="preserve"> mean</w:t>
            </w:r>
            <w:r>
              <w:rPr>
                <w:color w:val="FFFFFF" w:themeColor="background1"/>
                <w:sz w:val="18"/>
                <w:szCs w:val="18"/>
              </w:rPr>
              <w:t xml:space="preserve"> dietary exposure to</w:t>
            </w:r>
            <w:r w:rsidRPr="005979D0">
              <w:rPr>
                <w:color w:val="FFFFFF" w:themeColor="background1"/>
                <w:sz w:val="18"/>
                <w:szCs w:val="18"/>
              </w:rPr>
              <w:t xml:space="preserve"> </w:t>
            </w:r>
            <w:r w:rsidRPr="00D028CA">
              <w:rPr>
                <w:color w:val="FFFFFF" w:themeColor="background1"/>
                <w:sz w:val="18"/>
                <w:szCs w:val="18"/>
              </w:rPr>
              <w:t xml:space="preserve">mono- and diglycerides of fatty acids </w:t>
            </w:r>
            <w:r w:rsidRPr="005979D0">
              <w:rPr>
                <w:color w:val="FFFFFF" w:themeColor="background1"/>
                <w:sz w:val="18"/>
                <w:szCs w:val="18"/>
              </w:rPr>
              <w:t>(mg/</w:t>
            </w:r>
            <w:r>
              <w:rPr>
                <w:color w:val="FFFFFF" w:themeColor="background1"/>
                <w:sz w:val="18"/>
                <w:szCs w:val="18"/>
              </w:rPr>
              <w:t>respondent/</w:t>
            </w:r>
            <w:r w:rsidRPr="005979D0">
              <w:rPr>
                <w:color w:val="FFFFFF" w:themeColor="background1"/>
                <w:sz w:val="18"/>
                <w:szCs w:val="18"/>
              </w:rPr>
              <w:t>day)</w:t>
            </w:r>
            <w:r>
              <w:rPr>
                <w:color w:val="FFFFFF" w:themeColor="background1"/>
                <w:sz w:val="18"/>
                <w:szCs w:val="18"/>
              </w:rPr>
              <w:t>**</w:t>
            </w:r>
          </w:p>
        </w:tc>
        <w:tc>
          <w:tcPr>
            <w:tcW w:w="0" w:type="auto"/>
            <w:vMerge w:val="restart"/>
            <w:shd w:val="clear" w:color="auto" w:fill="9BBB59" w:themeFill="accent3"/>
          </w:tcPr>
          <w:p w14:paraId="5953C605" w14:textId="77777777" w:rsidR="005B6472" w:rsidRPr="005979D0" w:rsidRDefault="005B6472" w:rsidP="006B2A3A">
            <w:pPr>
              <w:jc w:val="center"/>
              <w:rPr>
                <w:color w:val="FFFFFF" w:themeColor="background1"/>
                <w:sz w:val="18"/>
                <w:szCs w:val="18"/>
              </w:rPr>
            </w:pPr>
            <w:r>
              <w:rPr>
                <w:color w:val="FFFFFF" w:themeColor="background1"/>
                <w:sz w:val="18"/>
                <w:szCs w:val="18"/>
              </w:rPr>
              <w:t xml:space="preserve">Mean total fat intake </w:t>
            </w:r>
            <w:r w:rsidRPr="005979D0">
              <w:rPr>
                <w:color w:val="FFFFFF" w:themeColor="background1"/>
                <w:sz w:val="18"/>
                <w:szCs w:val="18"/>
              </w:rPr>
              <w:t>(g/</w:t>
            </w:r>
            <w:r>
              <w:rPr>
                <w:color w:val="FFFFFF" w:themeColor="background1"/>
                <w:sz w:val="18"/>
                <w:szCs w:val="18"/>
              </w:rPr>
              <w:t>respondent/</w:t>
            </w:r>
            <w:r w:rsidRPr="005979D0">
              <w:rPr>
                <w:color w:val="FFFFFF" w:themeColor="background1"/>
                <w:sz w:val="18"/>
                <w:szCs w:val="18"/>
              </w:rPr>
              <w:t>day)</w:t>
            </w:r>
            <w:r w:rsidRPr="00965BD8">
              <w:rPr>
                <w:rFonts w:cs="Arial"/>
                <w:b/>
                <w:color w:val="FFFFFF" w:themeColor="background1"/>
                <w:sz w:val="18"/>
                <w:szCs w:val="18"/>
                <w:vertAlign w:val="superscript"/>
              </w:rPr>
              <w:sym w:font="Symbol" w:char="F0D1"/>
            </w:r>
            <w:r w:rsidRPr="00965BD8">
              <w:rPr>
                <w:rFonts w:cs="Arial"/>
                <w:b/>
                <w:color w:val="FFFFFF" w:themeColor="background1"/>
                <w:sz w:val="18"/>
                <w:szCs w:val="18"/>
                <w:vertAlign w:val="superscript"/>
              </w:rPr>
              <w:sym w:font="Symbol" w:char="F0D1"/>
            </w:r>
          </w:p>
          <w:p w14:paraId="7DE08CBF" w14:textId="77777777" w:rsidR="005B6472" w:rsidRPr="005979D0" w:rsidRDefault="005B6472" w:rsidP="006B2A3A">
            <w:pPr>
              <w:jc w:val="center"/>
              <w:rPr>
                <w:color w:val="FFFFFF" w:themeColor="background1"/>
                <w:sz w:val="18"/>
                <w:szCs w:val="18"/>
              </w:rPr>
            </w:pPr>
          </w:p>
        </w:tc>
        <w:tc>
          <w:tcPr>
            <w:tcW w:w="0" w:type="auto"/>
            <w:vMerge w:val="restart"/>
            <w:shd w:val="clear" w:color="auto" w:fill="9BBB59" w:themeFill="accent3"/>
          </w:tcPr>
          <w:p w14:paraId="2A8480E9" w14:textId="061E0E11" w:rsidR="005B6472" w:rsidRPr="005979D0" w:rsidRDefault="005B6472" w:rsidP="006B2A3A">
            <w:pPr>
              <w:jc w:val="center"/>
              <w:rPr>
                <w:color w:val="FFFFFF" w:themeColor="background1"/>
                <w:sz w:val="18"/>
                <w:szCs w:val="18"/>
              </w:rPr>
            </w:pPr>
            <w:r>
              <w:rPr>
                <w:color w:val="FFFFFF" w:themeColor="background1"/>
                <w:sz w:val="18"/>
                <w:szCs w:val="18"/>
              </w:rPr>
              <w:t xml:space="preserve">Mean </w:t>
            </w:r>
            <w:r w:rsidR="00D45F3C">
              <w:rPr>
                <w:color w:val="FFFFFF" w:themeColor="background1"/>
                <w:sz w:val="18"/>
                <w:szCs w:val="18"/>
              </w:rPr>
              <w:t xml:space="preserve">dietary </w:t>
            </w:r>
            <w:r w:rsidRPr="00D028CA">
              <w:rPr>
                <w:color w:val="FFFFFF" w:themeColor="background1"/>
                <w:sz w:val="18"/>
                <w:szCs w:val="18"/>
              </w:rPr>
              <w:t>exposure to mono- and diglycerides of fatty acids</w:t>
            </w:r>
            <w:r w:rsidRPr="00267364">
              <w:rPr>
                <w:color w:val="FFFFFF" w:themeColor="background1"/>
                <w:sz w:val="18"/>
                <w:szCs w:val="18"/>
              </w:rPr>
              <w:t xml:space="preserve"> </w:t>
            </w:r>
            <w:r>
              <w:rPr>
                <w:color w:val="FFFFFF" w:themeColor="background1"/>
                <w:sz w:val="18"/>
                <w:szCs w:val="18"/>
              </w:rPr>
              <w:t>as a p</w:t>
            </w:r>
            <w:r w:rsidRPr="005979D0">
              <w:rPr>
                <w:color w:val="FFFFFF" w:themeColor="background1"/>
                <w:sz w:val="18"/>
                <w:szCs w:val="18"/>
              </w:rPr>
              <w:t xml:space="preserve">ercentage of mean total fat </w:t>
            </w:r>
            <w:r>
              <w:rPr>
                <w:color w:val="FFFFFF" w:themeColor="background1"/>
                <w:sz w:val="18"/>
                <w:szCs w:val="18"/>
              </w:rPr>
              <w:t>intake (%)</w:t>
            </w:r>
          </w:p>
          <w:p w14:paraId="3852387F" w14:textId="77777777" w:rsidR="005B6472" w:rsidRPr="005979D0" w:rsidRDefault="005B6472" w:rsidP="006B2A3A">
            <w:pPr>
              <w:jc w:val="center"/>
              <w:rPr>
                <w:color w:val="FFFFFF" w:themeColor="background1"/>
                <w:sz w:val="18"/>
                <w:szCs w:val="18"/>
              </w:rPr>
            </w:pPr>
          </w:p>
        </w:tc>
      </w:tr>
      <w:tr w:rsidR="005B6472" w14:paraId="37AD47CC" w14:textId="77777777" w:rsidTr="006B2A3A">
        <w:trPr>
          <w:tblHeader/>
          <w:jc w:val="center"/>
        </w:trPr>
        <w:tc>
          <w:tcPr>
            <w:tcW w:w="0" w:type="auto"/>
            <w:vMerge/>
          </w:tcPr>
          <w:p w14:paraId="637DAFBA" w14:textId="77777777" w:rsidR="005B6472" w:rsidRPr="005979D0" w:rsidRDefault="005B6472" w:rsidP="006B2A3A">
            <w:pPr>
              <w:rPr>
                <w:sz w:val="18"/>
                <w:szCs w:val="18"/>
              </w:rPr>
            </w:pPr>
          </w:p>
        </w:tc>
        <w:tc>
          <w:tcPr>
            <w:tcW w:w="0" w:type="auto"/>
            <w:vMerge/>
          </w:tcPr>
          <w:p w14:paraId="67CB5194" w14:textId="77777777" w:rsidR="005B6472" w:rsidRPr="005979D0" w:rsidRDefault="005B6472" w:rsidP="006B2A3A">
            <w:pPr>
              <w:rPr>
                <w:sz w:val="18"/>
                <w:szCs w:val="18"/>
              </w:rPr>
            </w:pPr>
          </w:p>
        </w:tc>
        <w:tc>
          <w:tcPr>
            <w:tcW w:w="0" w:type="auto"/>
            <w:vMerge/>
            <w:shd w:val="clear" w:color="auto" w:fill="9BBB59" w:themeFill="accent3"/>
          </w:tcPr>
          <w:p w14:paraId="7E0580E4" w14:textId="77777777" w:rsidR="005B6472" w:rsidRPr="005979D0" w:rsidRDefault="005B6472" w:rsidP="006B2A3A">
            <w:pPr>
              <w:jc w:val="center"/>
              <w:rPr>
                <w:color w:val="FFFFFF" w:themeColor="background1"/>
                <w:sz w:val="18"/>
                <w:szCs w:val="18"/>
              </w:rPr>
            </w:pPr>
          </w:p>
        </w:tc>
        <w:tc>
          <w:tcPr>
            <w:tcW w:w="0" w:type="auto"/>
            <w:shd w:val="clear" w:color="auto" w:fill="9BBB59" w:themeFill="accent3"/>
          </w:tcPr>
          <w:p w14:paraId="342E9AC6" w14:textId="3102500F" w:rsidR="005B6472" w:rsidRPr="005979D0" w:rsidRDefault="005B6472" w:rsidP="006B2A3A">
            <w:pPr>
              <w:jc w:val="center"/>
              <w:rPr>
                <w:color w:val="FFFFFF" w:themeColor="background1"/>
                <w:sz w:val="18"/>
                <w:szCs w:val="18"/>
              </w:rPr>
            </w:pPr>
            <w:r w:rsidRPr="005979D0">
              <w:rPr>
                <w:color w:val="FFFFFF" w:themeColor="background1"/>
                <w:sz w:val="18"/>
                <w:szCs w:val="18"/>
              </w:rPr>
              <w:t>Fruit</w:t>
            </w:r>
            <w:r>
              <w:rPr>
                <w:color w:val="FFFFFF" w:themeColor="background1"/>
                <w:sz w:val="18"/>
                <w:szCs w:val="18"/>
              </w:rPr>
              <w:t xml:space="preserve"> products and dishes</w:t>
            </w:r>
          </w:p>
        </w:tc>
        <w:tc>
          <w:tcPr>
            <w:tcW w:w="0" w:type="auto"/>
            <w:shd w:val="clear" w:color="auto" w:fill="9BBB59" w:themeFill="accent3"/>
          </w:tcPr>
          <w:p w14:paraId="7AF45FCA" w14:textId="732483AC" w:rsidR="005B6472" w:rsidRPr="005979D0" w:rsidRDefault="005B6472" w:rsidP="006B2A3A">
            <w:pPr>
              <w:jc w:val="center"/>
              <w:rPr>
                <w:color w:val="FFFFFF" w:themeColor="background1"/>
                <w:sz w:val="18"/>
                <w:szCs w:val="18"/>
              </w:rPr>
            </w:pPr>
            <w:r>
              <w:rPr>
                <w:color w:val="FFFFFF" w:themeColor="background1"/>
                <w:sz w:val="18"/>
                <w:szCs w:val="18"/>
              </w:rPr>
              <w:t>S</w:t>
            </w:r>
            <w:r w:rsidRPr="005979D0">
              <w:rPr>
                <w:color w:val="FFFFFF" w:themeColor="background1"/>
                <w:sz w:val="18"/>
                <w:szCs w:val="18"/>
              </w:rPr>
              <w:t>eed</w:t>
            </w:r>
            <w:r>
              <w:rPr>
                <w:color w:val="FFFFFF" w:themeColor="background1"/>
                <w:sz w:val="18"/>
                <w:szCs w:val="18"/>
              </w:rPr>
              <w:t xml:space="preserve"> and nut product</w:t>
            </w:r>
            <w:r w:rsidRPr="005979D0">
              <w:rPr>
                <w:color w:val="FFFFFF" w:themeColor="background1"/>
                <w:sz w:val="18"/>
                <w:szCs w:val="18"/>
              </w:rPr>
              <w:t>s</w:t>
            </w:r>
            <w:r>
              <w:rPr>
                <w:color w:val="FFFFFF" w:themeColor="background1"/>
                <w:sz w:val="18"/>
                <w:szCs w:val="18"/>
              </w:rPr>
              <w:t xml:space="preserve"> and dishes</w:t>
            </w:r>
          </w:p>
        </w:tc>
        <w:tc>
          <w:tcPr>
            <w:tcW w:w="0" w:type="auto"/>
            <w:shd w:val="clear" w:color="auto" w:fill="9BBB59" w:themeFill="accent3"/>
          </w:tcPr>
          <w:p w14:paraId="3929AAB0" w14:textId="5BFFB952" w:rsidR="005B6472" w:rsidRPr="005979D0" w:rsidRDefault="005B6472" w:rsidP="006B2A3A">
            <w:pPr>
              <w:jc w:val="center"/>
              <w:rPr>
                <w:color w:val="FFFFFF" w:themeColor="background1"/>
                <w:sz w:val="18"/>
                <w:szCs w:val="18"/>
              </w:rPr>
            </w:pPr>
            <w:r>
              <w:rPr>
                <w:color w:val="FFFFFF" w:themeColor="background1"/>
                <w:sz w:val="18"/>
                <w:szCs w:val="18"/>
              </w:rPr>
              <w:t>Vegetable</w:t>
            </w:r>
            <w:r>
              <w:rPr>
                <w:color w:val="FFFFFF" w:themeColor="background1"/>
                <w:sz w:val="14"/>
                <w:szCs w:val="18"/>
              </w:rPr>
              <w:t xml:space="preserve"> </w:t>
            </w:r>
            <w:r w:rsidRPr="005B6472">
              <w:rPr>
                <w:color w:val="FFFFFF" w:themeColor="background1"/>
                <w:sz w:val="18"/>
                <w:szCs w:val="18"/>
              </w:rPr>
              <w:t>products and dishes</w:t>
            </w:r>
          </w:p>
        </w:tc>
        <w:tc>
          <w:tcPr>
            <w:tcW w:w="0" w:type="auto"/>
            <w:vMerge/>
            <w:shd w:val="clear" w:color="auto" w:fill="9BBB59" w:themeFill="accent3"/>
          </w:tcPr>
          <w:p w14:paraId="0E85F94F" w14:textId="77777777" w:rsidR="005B6472" w:rsidRPr="005979D0" w:rsidRDefault="005B6472" w:rsidP="006B2A3A">
            <w:pPr>
              <w:rPr>
                <w:sz w:val="18"/>
                <w:szCs w:val="18"/>
              </w:rPr>
            </w:pPr>
          </w:p>
        </w:tc>
        <w:tc>
          <w:tcPr>
            <w:tcW w:w="0" w:type="auto"/>
            <w:vMerge/>
          </w:tcPr>
          <w:p w14:paraId="44B9F73C" w14:textId="77777777" w:rsidR="005B6472" w:rsidRPr="005979D0" w:rsidRDefault="005B6472" w:rsidP="006B2A3A">
            <w:pPr>
              <w:rPr>
                <w:sz w:val="18"/>
                <w:szCs w:val="18"/>
              </w:rPr>
            </w:pPr>
          </w:p>
        </w:tc>
        <w:tc>
          <w:tcPr>
            <w:tcW w:w="0" w:type="auto"/>
            <w:vMerge/>
          </w:tcPr>
          <w:p w14:paraId="2D4E80BB" w14:textId="77777777" w:rsidR="005B6472" w:rsidRPr="005979D0" w:rsidRDefault="005B6472" w:rsidP="006B2A3A">
            <w:pPr>
              <w:rPr>
                <w:sz w:val="18"/>
                <w:szCs w:val="18"/>
              </w:rPr>
            </w:pPr>
          </w:p>
        </w:tc>
      </w:tr>
      <w:tr w:rsidR="005B6472" w14:paraId="7900A18A" w14:textId="77777777" w:rsidTr="006B2A3A">
        <w:trPr>
          <w:jc w:val="center"/>
        </w:trPr>
        <w:tc>
          <w:tcPr>
            <w:tcW w:w="0" w:type="auto"/>
            <w:vAlign w:val="center"/>
          </w:tcPr>
          <w:p w14:paraId="02CC625B" w14:textId="77777777" w:rsidR="005B6472" w:rsidRPr="00C071A9" w:rsidRDefault="005B6472" w:rsidP="006B2A3A">
            <w:pPr>
              <w:rPr>
                <w:sz w:val="18"/>
                <w:szCs w:val="18"/>
              </w:rPr>
            </w:pPr>
            <w:r w:rsidRPr="00C071A9">
              <w:rPr>
                <w:sz w:val="18"/>
                <w:szCs w:val="18"/>
              </w:rPr>
              <w:t>Australia</w:t>
            </w:r>
            <w:r w:rsidRPr="00C071A9">
              <w:rPr>
                <w:sz w:val="18"/>
                <w:szCs w:val="18"/>
                <w:vertAlign w:val="superscript"/>
              </w:rPr>
              <w:sym w:font="Symbol" w:char="F02A"/>
            </w:r>
          </w:p>
        </w:tc>
        <w:tc>
          <w:tcPr>
            <w:tcW w:w="0" w:type="auto"/>
          </w:tcPr>
          <w:p w14:paraId="75E5DFBF" w14:textId="77777777" w:rsidR="005B6472" w:rsidRPr="005979D0" w:rsidRDefault="005B6472" w:rsidP="006B2A3A">
            <w:pPr>
              <w:jc w:val="center"/>
              <w:rPr>
                <w:sz w:val="18"/>
                <w:szCs w:val="18"/>
              </w:rPr>
            </w:pPr>
            <w:r w:rsidRPr="005979D0">
              <w:rPr>
                <w:sz w:val="18"/>
                <w:szCs w:val="18"/>
              </w:rPr>
              <w:t>2 years and above</w:t>
            </w:r>
          </w:p>
        </w:tc>
        <w:tc>
          <w:tcPr>
            <w:tcW w:w="0" w:type="auto"/>
          </w:tcPr>
          <w:p w14:paraId="0EC5A66B" w14:textId="77777777" w:rsidR="005B6472" w:rsidRPr="005979D0" w:rsidRDefault="005B6472" w:rsidP="006B2A3A">
            <w:pPr>
              <w:jc w:val="center"/>
              <w:rPr>
                <w:sz w:val="18"/>
                <w:szCs w:val="18"/>
              </w:rPr>
            </w:pPr>
            <w:r>
              <w:rPr>
                <w:sz w:val="18"/>
                <w:szCs w:val="18"/>
              </w:rPr>
              <w:t>12,153</w:t>
            </w:r>
          </w:p>
        </w:tc>
        <w:tc>
          <w:tcPr>
            <w:tcW w:w="0" w:type="auto"/>
          </w:tcPr>
          <w:p w14:paraId="4F8DFD02" w14:textId="77777777" w:rsidR="005B6472" w:rsidRPr="005979D0" w:rsidRDefault="005B6472" w:rsidP="006B2A3A">
            <w:pPr>
              <w:jc w:val="center"/>
              <w:rPr>
                <w:sz w:val="18"/>
                <w:szCs w:val="18"/>
              </w:rPr>
            </w:pPr>
            <w:r w:rsidRPr="005979D0">
              <w:rPr>
                <w:sz w:val="18"/>
                <w:szCs w:val="18"/>
              </w:rPr>
              <w:t>14</w:t>
            </w:r>
            <w:r>
              <w:rPr>
                <w:sz w:val="18"/>
                <w:szCs w:val="18"/>
              </w:rPr>
              <w:t>6</w:t>
            </w:r>
          </w:p>
        </w:tc>
        <w:tc>
          <w:tcPr>
            <w:tcW w:w="0" w:type="auto"/>
          </w:tcPr>
          <w:p w14:paraId="15302107" w14:textId="77777777" w:rsidR="005B6472" w:rsidRPr="005979D0" w:rsidRDefault="005B6472" w:rsidP="006B2A3A">
            <w:pPr>
              <w:jc w:val="center"/>
              <w:rPr>
                <w:sz w:val="18"/>
                <w:szCs w:val="18"/>
              </w:rPr>
            </w:pPr>
            <w:r w:rsidRPr="005979D0">
              <w:rPr>
                <w:sz w:val="18"/>
                <w:szCs w:val="18"/>
              </w:rPr>
              <w:t>6</w:t>
            </w:r>
          </w:p>
        </w:tc>
        <w:tc>
          <w:tcPr>
            <w:tcW w:w="0" w:type="auto"/>
          </w:tcPr>
          <w:p w14:paraId="4454333F" w14:textId="5F5B33FB" w:rsidR="005B6472" w:rsidRPr="005979D0" w:rsidRDefault="005B6472" w:rsidP="006B2A3A">
            <w:pPr>
              <w:jc w:val="center"/>
              <w:rPr>
                <w:sz w:val="18"/>
                <w:szCs w:val="18"/>
              </w:rPr>
            </w:pPr>
            <w:r w:rsidRPr="005979D0">
              <w:rPr>
                <w:sz w:val="18"/>
                <w:szCs w:val="18"/>
              </w:rPr>
              <w:t>156</w:t>
            </w:r>
          </w:p>
        </w:tc>
        <w:tc>
          <w:tcPr>
            <w:tcW w:w="0" w:type="auto"/>
          </w:tcPr>
          <w:p w14:paraId="6D3ED0D3" w14:textId="77777777" w:rsidR="005B6472" w:rsidRPr="005979D0" w:rsidRDefault="005B6472" w:rsidP="006B2A3A">
            <w:pPr>
              <w:jc w:val="center"/>
              <w:rPr>
                <w:sz w:val="18"/>
                <w:szCs w:val="18"/>
              </w:rPr>
            </w:pPr>
            <w:r w:rsidRPr="005979D0">
              <w:rPr>
                <w:sz w:val="18"/>
                <w:szCs w:val="18"/>
              </w:rPr>
              <w:t>468</w:t>
            </w:r>
          </w:p>
        </w:tc>
        <w:tc>
          <w:tcPr>
            <w:tcW w:w="0" w:type="auto"/>
          </w:tcPr>
          <w:p w14:paraId="1DDE1FCC" w14:textId="77777777" w:rsidR="005B6472" w:rsidRPr="005979D0" w:rsidRDefault="005B6472" w:rsidP="006B2A3A">
            <w:pPr>
              <w:jc w:val="center"/>
              <w:rPr>
                <w:sz w:val="18"/>
                <w:szCs w:val="18"/>
              </w:rPr>
            </w:pPr>
            <w:r w:rsidRPr="005979D0">
              <w:rPr>
                <w:sz w:val="18"/>
                <w:szCs w:val="18"/>
              </w:rPr>
              <w:t>72.8</w:t>
            </w:r>
          </w:p>
        </w:tc>
        <w:tc>
          <w:tcPr>
            <w:tcW w:w="0" w:type="auto"/>
          </w:tcPr>
          <w:p w14:paraId="6D76935F" w14:textId="77777777" w:rsidR="005B6472" w:rsidRPr="005979D0" w:rsidRDefault="005B6472" w:rsidP="006B2A3A">
            <w:pPr>
              <w:jc w:val="center"/>
              <w:rPr>
                <w:sz w:val="18"/>
                <w:szCs w:val="18"/>
              </w:rPr>
            </w:pPr>
            <w:r w:rsidRPr="005979D0">
              <w:rPr>
                <w:sz w:val="18"/>
                <w:szCs w:val="18"/>
              </w:rPr>
              <w:t>0.6</w:t>
            </w:r>
          </w:p>
        </w:tc>
      </w:tr>
    </w:tbl>
    <w:p w14:paraId="0AC7F38C" w14:textId="1365109B" w:rsidR="005B6472" w:rsidRDefault="005B6472" w:rsidP="005B6472">
      <w:pPr>
        <w:rPr>
          <w:rFonts w:cs="Arial"/>
          <w:sz w:val="18"/>
          <w:szCs w:val="18"/>
        </w:rPr>
      </w:pPr>
      <w:r w:rsidRPr="00C94FFC">
        <w:rPr>
          <w:sz w:val="18"/>
          <w:szCs w:val="18"/>
          <w:vertAlign w:val="superscript"/>
        </w:rPr>
        <w:sym w:font="Symbol" w:char="F02A"/>
      </w:r>
      <w:r w:rsidR="006B2A3A">
        <w:rPr>
          <w:sz w:val="18"/>
          <w:szCs w:val="18"/>
        </w:rPr>
        <w:tab/>
      </w:r>
      <w:r w:rsidRPr="00696044">
        <w:rPr>
          <w:sz w:val="18"/>
          <w:szCs w:val="18"/>
          <w:lang w:eastAsia="en-AU"/>
        </w:rPr>
        <w:t>2011-12 Australian National Nutrition and Physical Activity Survey</w:t>
      </w:r>
      <w:r>
        <w:rPr>
          <w:sz w:val="18"/>
          <w:szCs w:val="18"/>
        </w:rPr>
        <w:t xml:space="preserve">. </w:t>
      </w:r>
      <w:r w:rsidRPr="00C94FFC">
        <w:rPr>
          <w:rFonts w:cs="Arial"/>
          <w:sz w:val="18"/>
          <w:szCs w:val="18"/>
        </w:rPr>
        <w:t xml:space="preserve">Based on day 1 </w:t>
      </w:r>
      <w:r>
        <w:rPr>
          <w:rFonts w:cs="Arial"/>
          <w:sz w:val="18"/>
          <w:szCs w:val="18"/>
        </w:rPr>
        <w:t xml:space="preserve">consumption data only from all </w:t>
      </w:r>
      <w:r w:rsidRPr="00C94FFC">
        <w:rPr>
          <w:rFonts w:cs="Arial"/>
          <w:sz w:val="18"/>
          <w:szCs w:val="18"/>
        </w:rPr>
        <w:t>respondents</w:t>
      </w:r>
      <w:r>
        <w:rPr>
          <w:rFonts w:cs="Arial"/>
          <w:sz w:val="18"/>
          <w:szCs w:val="18"/>
        </w:rPr>
        <w:t>.</w:t>
      </w:r>
    </w:p>
    <w:p w14:paraId="12C03455" w14:textId="17A55095" w:rsidR="000B1A2C" w:rsidRPr="00DF5BDC" w:rsidRDefault="000B1A2C" w:rsidP="000B1A2C">
      <w:pPr>
        <w:rPr>
          <w:rFonts w:cs="Arial"/>
          <w:sz w:val="18"/>
          <w:szCs w:val="18"/>
          <w:vertAlign w:val="superscript"/>
        </w:rPr>
      </w:pPr>
      <w:r w:rsidRPr="00DF5BDC">
        <w:rPr>
          <w:rFonts w:cs="Arial"/>
          <w:sz w:val="18"/>
          <w:szCs w:val="18"/>
          <w:vertAlign w:val="superscript"/>
        </w:rPr>
        <w:t>¥</w:t>
      </w:r>
      <w:r w:rsidRPr="00DF5BDC">
        <w:rPr>
          <w:rFonts w:cs="Arial"/>
          <w:sz w:val="18"/>
          <w:szCs w:val="18"/>
          <w:vertAlign w:val="superscript"/>
        </w:rPr>
        <w:tab/>
      </w:r>
      <w:r w:rsidRPr="00DF5BDC">
        <w:rPr>
          <w:rFonts w:cs="Arial"/>
          <w:sz w:val="18"/>
          <w:szCs w:val="18"/>
        </w:rPr>
        <w:t>Consumption of herbs</w:t>
      </w:r>
      <w:r w:rsidR="00D863B0" w:rsidRPr="00DF5BDC">
        <w:rPr>
          <w:rFonts w:cs="Arial"/>
          <w:sz w:val="18"/>
          <w:szCs w:val="18"/>
        </w:rPr>
        <w:t xml:space="preserve"> (dried)</w:t>
      </w:r>
      <w:r w:rsidRPr="00DF5BDC">
        <w:rPr>
          <w:rFonts w:cs="Arial"/>
          <w:sz w:val="18"/>
          <w:szCs w:val="18"/>
        </w:rPr>
        <w:t xml:space="preserve"> and spices not included as mean consumption &lt;0.1 g/respondent/day.</w:t>
      </w:r>
    </w:p>
    <w:p w14:paraId="33D703F2" w14:textId="229882A4" w:rsidR="005B6472" w:rsidRPr="00DF5BDC" w:rsidRDefault="006B2A3A" w:rsidP="005B6472">
      <w:pPr>
        <w:rPr>
          <w:rFonts w:cs="Arial"/>
          <w:sz w:val="18"/>
          <w:szCs w:val="18"/>
        </w:rPr>
      </w:pPr>
      <w:r w:rsidRPr="00DF5BDC">
        <w:rPr>
          <w:rFonts w:cs="Arial"/>
          <w:sz w:val="18"/>
          <w:szCs w:val="18"/>
        </w:rPr>
        <w:t>**</w:t>
      </w:r>
      <w:r w:rsidRPr="00DF5BDC">
        <w:rPr>
          <w:rFonts w:cs="Arial"/>
          <w:sz w:val="18"/>
          <w:szCs w:val="18"/>
        </w:rPr>
        <w:tab/>
      </w:r>
      <w:r w:rsidR="005B6472" w:rsidRPr="00DF5BDC">
        <w:rPr>
          <w:rFonts w:cs="Arial"/>
          <w:sz w:val="18"/>
          <w:szCs w:val="18"/>
        </w:rPr>
        <w:t xml:space="preserve">Based on </w:t>
      </w:r>
      <w:r w:rsidR="005B6472" w:rsidRPr="00DF5BDC">
        <w:rPr>
          <w:sz w:val="18"/>
          <w:szCs w:val="18"/>
        </w:rPr>
        <w:t>mono- and diglycerides of fatty acids concentration</w:t>
      </w:r>
      <w:r w:rsidR="005B6472" w:rsidRPr="00DF5BDC">
        <w:rPr>
          <w:rFonts w:cs="Arial"/>
          <w:sz w:val="18"/>
          <w:szCs w:val="18"/>
        </w:rPr>
        <w:t xml:space="preserve"> of 152 g/100 kg produce.</w:t>
      </w:r>
    </w:p>
    <w:p w14:paraId="4FD882ED" w14:textId="16D3B65E" w:rsidR="006B2A3A" w:rsidRPr="00DF5BDC" w:rsidRDefault="006B2A3A" w:rsidP="005B6472">
      <w:pPr>
        <w:rPr>
          <w:rFonts w:cs="Arial"/>
          <w:sz w:val="18"/>
          <w:szCs w:val="18"/>
        </w:rPr>
      </w:pPr>
      <w:r w:rsidRPr="00DF5BDC">
        <w:rPr>
          <w:rFonts w:cs="Arial"/>
          <w:b/>
          <w:sz w:val="18"/>
          <w:szCs w:val="18"/>
          <w:vertAlign w:val="superscript"/>
        </w:rPr>
        <w:sym w:font="Symbol" w:char="F0D1"/>
      </w:r>
      <w:r w:rsidRPr="00DF5BDC">
        <w:rPr>
          <w:rFonts w:cs="Arial"/>
          <w:b/>
          <w:sz w:val="18"/>
          <w:szCs w:val="18"/>
          <w:vertAlign w:val="superscript"/>
        </w:rPr>
        <w:sym w:font="Symbol" w:char="F0D1"/>
      </w:r>
      <w:r w:rsidRPr="00DF5BDC">
        <w:rPr>
          <w:rFonts w:cs="Arial"/>
          <w:sz w:val="18"/>
          <w:szCs w:val="18"/>
        </w:rPr>
        <w:tab/>
        <w:t>Based on day 1 consumption data only from all respondents. Data extracted from Harvest</w:t>
      </w:r>
      <w:r w:rsidRPr="00DF5BDC">
        <w:rPr>
          <w:rFonts w:cs="Arial"/>
          <w:sz w:val="18"/>
          <w:szCs w:val="18"/>
          <w:vertAlign w:val="superscript"/>
        </w:rPr>
        <w:fldChar w:fldCharType="begin"/>
      </w:r>
      <w:r w:rsidRPr="00DF5BDC">
        <w:rPr>
          <w:rFonts w:cs="Arial"/>
          <w:sz w:val="18"/>
          <w:szCs w:val="18"/>
          <w:vertAlign w:val="superscript"/>
        </w:rPr>
        <w:instrText xml:space="preserve"> NOTEREF _Ref45715301 \h  \* MERGEFORMAT </w:instrText>
      </w:r>
      <w:r w:rsidRPr="00DF5BDC">
        <w:rPr>
          <w:rFonts w:cs="Arial"/>
          <w:sz w:val="18"/>
          <w:szCs w:val="18"/>
          <w:vertAlign w:val="superscript"/>
        </w:rPr>
      </w:r>
      <w:r w:rsidRPr="00DF5BDC">
        <w:rPr>
          <w:rFonts w:cs="Arial"/>
          <w:sz w:val="18"/>
          <w:szCs w:val="18"/>
          <w:vertAlign w:val="superscript"/>
        </w:rPr>
        <w:fldChar w:fldCharType="separate"/>
      </w:r>
      <w:r w:rsidR="00515ADA">
        <w:rPr>
          <w:rFonts w:cs="Arial"/>
          <w:sz w:val="18"/>
          <w:szCs w:val="18"/>
          <w:vertAlign w:val="superscript"/>
        </w:rPr>
        <w:t>4</w:t>
      </w:r>
      <w:r w:rsidRPr="00DF5BDC">
        <w:rPr>
          <w:rFonts w:cs="Arial"/>
          <w:sz w:val="18"/>
          <w:szCs w:val="18"/>
          <w:vertAlign w:val="superscript"/>
        </w:rPr>
        <w:fldChar w:fldCharType="end"/>
      </w:r>
      <w:r w:rsidR="00484496" w:rsidRPr="00DF5BDC">
        <w:rPr>
          <w:rFonts w:cs="Arial"/>
          <w:sz w:val="18"/>
          <w:szCs w:val="18"/>
        </w:rPr>
        <w:t>.</w:t>
      </w:r>
    </w:p>
    <w:p w14:paraId="5E1304E6" w14:textId="77777777" w:rsidR="006B2A3A" w:rsidRPr="00DF5BDC" w:rsidRDefault="006B2A3A" w:rsidP="00D028CA">
      <w:pPr>
        <w:pStyle w:val="Caption"/>
        <w:ind w:left="1134" w:hanging="1134"/>
        <w:rPr>
          <w:i w:val="0"/>
          <w:color w:val="auto"/>
          <w:sz w:val="22"/>
          <w:szCs w:val="22"/>
        </w:rPr>
      </w:pPr>
    </w:p>
    <w:p w14:paraId="0E167D3A" w14:textId="7E5539F6" w:rsidR="00060155" w:rsidRPr="00DF5BDC" w:rsidRDefault="003233A6" w:rsidP="00E164D3">
      <w:pPr>
        <w:pStyle w:val="Caption"/>
        <w:keepNext/>
        <w:ind w:left="1134" w:hanging="1134"/>
      </w:pPr>
      <w:bookmarkStart w:id="87" w:name="_Ref48291721"/>
      <w:bookmarkStart w:id="88" w:name="_Ref48221494"/>
      <w:r w:rsidRPr="00DF5BDC">
        <w:rPr>
          <w:b/>
          <w:color w:val="auto"/>
          <w:sz w:val="22"/>
          <w:szCs w:val="22"/>
        </w:rPr>
        <w:t xml:space="preserve">Table </w:t>
      </w:r>
      <w:r w:rsidRPr="00DF5BDC">
        <w:rPr>
          <w:b/>
          <w:color w:val="auto"/>
          <w:sz w:val="22"/>
          <w:szCs w:val="22"/>
        </w:rPr>
        <w:fldChar w:fldCharType="begin"/>
      </w:r>
      <w:r w:rsidRPr="00DF5BDC">
        <w:rPr>
          <w:b/>
          <w:color w:val="auto"/>
          <w:sz w:val="22"/>
          <w:szCs w:val="22"/>
        </w:rPr>
        <w:instrText xml:space="preserve"> SEQ Table \* ARABIC </w:instrText>
      </w:r>
      <w:r w:rsidRPr="00DF5BDC">
        <w:rPr>
          <w:b/>
          <w:color w:val="auto"/>
          <w:sz w:val="22"/>
          <w:szCs w:val="22"/>
        </w:rPr>
        <w:fldChar w:fldCharType="separate"/>
      </w:r>
      <w:r w:rsidR="00515ADA">
        <w:rPr>
          <w:b/>
          <w:noProof/>
          <w:color w:val="auto"/>
          <w:sz w:val="22"/>
          <w:szCs w:val="22"/>
        </w:rPr>
        <w:t>6</w:t>
      </w:r>
      <w:r w:rsidRPr="00DF5BDC">
        <w:rPr>
          <w:b/>
          <w:color w:val="auto"/>
          <w:sz w:val="22"/>
          <w:szCs w:val="22"/>
        </w:rPr>
        <w:fldChar w:fldCharType="end"/>
      </w:r>
      <w:bookmarkEnd w:id="87"/>
      <w:r w:rsidRPr="00DF5BDC">
        <w:t xml:space="preserve"> </w:t>
      </w:r>
      <w:bookmarkEnd w:id="88"/>
      <w:bookmarkEnd w:id="86"/>
      <w:r w:rsidR="00553B4C" w:rsidRPr="00DF5BDC">
        <w:rPr>
          <w:b/>
          <w:color w:val="auto"/>
          <w:sz w:val="22"/>
          <w:szCs w:val="22"/>
        </w:rPr>
        <w:tab/>
      </w:r>
      <w:r w:rsidR="00060155" w:rsidRPr="00DF5BDC">
        <w:rPr>
          <w:color w:val="auto"/>
          <w:sz w:val="22"/>
          <w:szCs w:val="22"/>
        </w:rPr>
        <w:t>Estimated dietary exposures to</w:t>
      </w:r>
      <w:r w:rsidR="00267364" w:rsidRPr="00DF5BDC">
        <w:rPr>
          <w:color w:val="auto"/>
          <w:sz w:val="22"/>
          <w:szCs w:val="22"/>
        </w:rPr>
        <w:t xml:space="preserve"> mono- and diglycerides of fatty acids</w:t>
      </w:r>
      <w:r w:rsidR="00060155" w:rsidRPr="00DF5BDC">
        <w:rPr>
          <w:color w:val="auto"/>
          <w:sz w:val="22"/>
          <w:szCs w:val="22"/>
        </w:rPr>
        <w:t xml:space="preserve"> from use as a glazing agent on fruits and vegetables for New Zealand respondents and percentage of mean total fat </w:t>
      </w:r>
      <w:r w:rsidR="00C01C21" w:rsidRPr="00DF5BDC">
        <w:rPr>
          <w:color w:val="auto"/>
          <w:sz w:val="22"/>
          <w:szCs w:val="22"/>
        </w:rPr>
        <w:t>intake</w:t>
      </w:r>
    </w:p>
    <w:tbl>
      <w:tblPr>
        <w:tblStyle w:val="TableGrid"/>
        <w:tblW w:w="0" w:type="auto"/>
        <w:jc w:val="center"/>
        <w:tblLook w:val="04A0" w:firstRow="1" w:lastRow="0" w:firstColumn="1" w:lastColumn="0" w:noHBand="0" w:noVBand="1"/>
        <w:tblCaption w:val="Estimated dietary exposures to mono and diglycerides of fatty acids from use as a glazing agent on fruits and vegetables for Australian and New Zealand respondents and percentage of mean total fat consumption"/>
        <w:tblDescription w:val="Estimated dietary exposures to mono and diglycerides of fatty acids from use as a glazing agent on fruits and vegetables for New Zealand respondents and percentage of mean total fat consumption"/>
      </w:tblPr>
      <w:tblGrid>
        <w:gridCol w:w="1015"/>
        <w:gridCol w:w="879"/>
        <w:gridCol w:w="696"/>
        <w:gridCol w:w="576"/>
        <w:gridCol w:w="812"/>
        <w:gridCol w:w="1478"/>
        <w:gridCol w:w="1181"/>
        <w:gridCol w:w="2901"/>
        <w:gridCol w:w="2149"/>
        <w:gridCol w:w="2305"/>
      </w:tblGrid>
      <w:tr w:rsidR="00D028CA" w:rsidRPr="00DF5BDC" w14:paraId="47777F7D" w14:textId="77777777" w:rsidTr="005F4FEF">
        <w:trPr>
          <w:tblHeader/>
          <w:jc w:val="center"/>
        </w:trPr>
        <w:tc>
          <w:tcPr>
            <w:tcW w:w="0" w:type="auto"/>
            <w:vMerge w:val="restart"/>
            <w:shd w:val="clear" w:color="auto" w:fill="9BBB59" w:themeFill="accent3"/>
          </w:tcPr>
          <w:p w14:paraId="0FCECCCD" w14:textId="77777777" w:rsidR="00060155" w:rsidRPr="00DF5BDC" w:rsidRDefault="00060155" w:rsidP="00060155">
            <w:pPr>
              <w:jc w:val="center"/>
              <w:rPr>
                <w:color w:val="FFFFFF" w:themeColor="background1"/>
                <w:sz w:val="18"/>
                <w:szCs w:val="18"/>
              </w:rPr>
            </w:pPr>
            <w:r w:rsidRPr="00DF5BDC">
              <w:rPr>
                <w:color w:val="FFFFFF" w:themeColor="background1"/>
                <w:sz w:val="18"/>
                <w:szCs w:val="18"/>
              </w:rPr>
              <w:t>Country</w:t>
            </w:r>
          </w:p>
        </w:tc>
        <w:tc>
          <w:tcPr>
            <w:tcW w:w="0" w:type="auto"/>
            <w:vMerge w:val="restart"/>
            <w:shd w:val="clear" w:color="auto" w:fill="9BBB59" w:themeFill="accent3"/>
          </w:tcPr>
          <w:p w14:paraId="0B9386D4" w14:textId="77777777" w:rsidR="00060155" w:rsidRPr="00DF5BDC" w:rsidRDefault="00060155" w:rsidP="00060155">
            <w:pPr>
              <w:jc w:val="center"/>
              <w:rPr>
                <w:color w:val="FFFFFF" w:themeColor="background1"/>
                <w:sz w:val="18"/>
                <w:szCs w:val="18"/>
              </w:rPr>
            </w:pPr>
            <w:r w:rsidRPr="00DF5BDC">
              <w:rPr>
                <w:color w:val="FFFFFF" w:themeColor="background1"/>
                <w:sz w:val="18"/>
                <w:szCs w:val="18"/>
              </w:rPr>
              <w:t>Age Group</w:t>
            </w:r>
          </w:p>
        </w:tc>
        <w:tc>
          <w:tcPr>
            <w:tcW w:w="0" w:type="auto"/>
            <w:vMerge w:val="restart"/>
            <w:shd w:val="clear" w:color="auto" w:fill="9BBB59" w:themeFill="accent3"/>
          </w:tcPr>
          <w:p w14:paraId="35A828E4" w14:textId="77777777" w:rsidR="00060155" w:rsidRPr="00DF5BDC" w:rsidRDefault="00060155" w:rsidP="00060155">
            <w:pPr>
              <w:jc w:val="center"/>
              <w:rPr>
                <w:color w:val="FFFFFF" w:themeColor="background1"/>
                <w:sz w:val="18"/>
                <w:szCs w:val="18"/>
              </w:rPr>
            </w:pPr>
            <w:r w:rsidRPr="00DF5BDC">
              <w:rPr>
                <w:rFonts w:cs="Arial"/>
                <w:color w:val="FFFFFF" w:themeColor="background1"/>
                <w:sz w:val="18"/>
                <w:szCs w:val="18"/>
              </w:rPr>
              <w:t>No. of resp.</w:t>
            </w:r>
          </w:p>
        </w:tc>
        <w:tc>
          <w:tcPr>
            <w:tcW w:w="0" w:type="auto"/>
            <w:gridSpan w:val="4"/>
            <w:shd w:val="clear" w:color="auto" w:fill="9BBB59" w:themeFill="accent3"/>
          </w:tcPr>
          <w:p w14:paraId="0F357D4F" w14:textId="0CA9435E" w:rsidR="00060155" w:rsidRPr="00DF5BDC" w:rsidRDefault="00060155" w:rsidP="00060155">
            <w:pPr>
              <w:jc w:val="center"/>
              <w:rPr>
                <w:color w:val="FFFFFF" w:themeColor="background1"/>
                <w:sz w:val="18"/>
                <w:szCs w:val="18"/>
              </w:rPr>
            </w:pPr>
            <w:r w:rsidRPr="00DF5BDC">
              <w:rPr>
                <w:color w:val="FFFFFF" w:themeColor="background1"/>
                <w:sz w:val="18"/>
                <w:szCs w:val="18"/>
              </w:rPr>
              <w:t>Survey Food Group</w:t>
            </w:r>
            <w:r w:rsidR="000B1A2C" w:rsidRPr="00DF5BDC">
              <w:rPr>
                <w:rFonts w:cs="Arial"/>
                <w:color w:val="FFFFFF" w:themeColor="background1"/>
                <w:sz w:val="18"/>
                <w:szCs w:val="18"/>
                <w:vertAlign w:val="superscript"/>
              </w:rPr>
              <w:t>¥¥</w:t>
            </w:r>
          </w:p>
          <w:p w14:paraId="1215084F" w14:textId="77777777" w:rsidR="00060155" w:rsidRPr="00DF5BDC" w:rsidRDefault="00060155" w:rsidP="00060155">
            <w:pPr>
              <w:jc w:val="center"/>
              <w:rPr>
                <w:color w:val="FFFFFF" w:themeColor="background1"/>
                <w:sz w:val="18"/>
                <w:szCs w:val="18"/>
              </w:rPr>
            </w:pPr>
            <w:r w:rsidRPr="00DF5BDC">
              <w:rPr>
                <w:color w:val="FFFFFF" w:themeColor="background1"/>
                <w:sz w:val="18"/>
                <w:szCs w:val="18"/>
              </w:rPr>
              <w:t>Mean consumption (g/respondent/day)</w:t>
            </w:r>
          </w:p>
          <w:p w14:paraId="4BEC728D" w14:textId="77777777" w:rsidR="00060155" w:rsidRPr="00DF5BDC" w:rsidRDefault="00060155" w:rsidP="00060155">
            <w:pPr>
              <w:jc w:val="center"/>
              <w:rPr>
                <w:color w:val="FFFFFF" w:themeColor="background1"/>
                <w:sz w:val="18"/>
                <w:szCs w:val="18"/>
              </w:rPr>
            </w:pPr>
          </w:p>
        </w:tc>
        <w:tc>
          <w:tcPr>
            <w:tcW w:w="0" w:type="auto"/>
            <w:vMerge w:val="restart"/>
            <w:shd w:val="clear" w:color="auto" w:fill="9BBB59" w:themeFill="accent3"/>
          </w:tcPr>
          <w:p w14:paraId="48F3595F" w14:textId="75BEDB19" w:rsidR="00060155" w:rsidRPr="00DF5BDC" w:rsidRDefault="00060155" w:rsidP="00060155">
            <w:pPr>
              <w:jc w:val="center"/>
              <w:rPr>
                <w:color w:val="FFFFFF" w:themeColor="background1"/>
                <w:sz w:val="18"/>
                <w:szCs w:val="18"/>
              </w:rPr>
            </w:pPr>
            <w:r w:rsidRPr="00DF5BDC">
              <w:rPr>
                <w:color w:val="FFFFFF" w:themeColor="background1"/>
                <w:sz w:val="18"/>
                <w:szCs w:val="18"/>
              </w:rPr>
              <w:t xml:space="preserve">Estimated mean dietary exposure to </w:t>
            </w:r>
            <w:r w:rsidR="00267364" w:rsidRPr="00DF5BDC">
              <w:rPr>
                <w:color w:val="FFFFFF" w:themeColor="background1"/>
                <w:sz w:val="18"/>
                <w:szCs w:val="18"/>
              </w:rPr>
              <w:t>mono- and diglycerides of fatty acids</w:t>
            </w:r>
            <w:r w:rsidRPr="00DF5BDC">
              <w:rPr>
                <w:color w:val="FFFFFF" w:themeColor="background1"/>
                <w:sz w:val="18"/>
                <w:szCs w:val="18"/>
              </w:rPr>
              <w:t xml:space="preserve"> (mg/respondent/day)**</w:t>
            </w:r>
          </w:p>
        </w:tc>
        <w:tc>
          <w:tcPr>
            <w:tcW w:w="0" w:type="auto"/>
            <w:vMerge w:val="restart"/>
            <w:shd w:val="clear" w:color="auto" w:fill="9BBB59" w:themeFill="accent3"/>
          </w:tcPr>
          <w:p w14:paraId="3AB87CA9" w14:textId="77777777" w:rsidR="00060155" w:rsidRPr="00DF5BDC" w:rsidRDefault="00060155" w:rsidP="00060155">
            <w:pPr>
              <w:jc w:val="center"/>
              <w:rPr>
                <w:color w:val="FFFFFF" w:themeColor="background1"/>
                <w:sz w:val="18"/>
                <w:szCs w:val="18"/>
              </w:rPr>
            </w:pPr>
            <w:r w:rsidRPr="00DF5BDC">
              <w:rPr>
                <w:color w:val="FFFFFF" w:themeColor="background1"/>
                <w:sz w:val="18"/>
                <w:szCs w:val="18"/>
              </w:rPr>
              <w:t>Mean total fat intake (g/respondent/day)</w:t>
            </w:r>
            <w:r w:rsidRPr="00DF5BDC">
              <w:rPr>
                <w:rFonts w:cs="Arial"/>
                <w:b/>
                <w:color w:val="FFFFFF" w:themeColor="background1"/>
                <w:sz w:val="18"/>
                <w:szCs w:val="18"/>
                <w:vertAlign w:val="superscript"/>
              </w:rPr>
              <w:sym w:font="Symbol" w:char="F0D1"/>
            </w:r>
            <w:r w:rsidRPr="00DF5BDC">
              <w:rPr>
                <w:rFonts w:cs="Arial"/>
                <w:b/>
                <w:color w:val="FFFFFF" w:themeColor="background1"/>
                <w:sz w:val="18"/>
                <w:szCs w:val="18"/>
                <w:vertAlign w:val="superscript"/>
              </w:rPr>
              <w:sym w:font="Symbol" w:char="F0D1"/>
            </w:r>
          </w:p>
          <w:p w14:paraId="52932F7E" w14:textId="77777777" w:rsidR="00060155" w:rsidRPr="00DF5BDC" w:rsidRDefault="00060155" w:rsidP="00060155">
            <w:pPr>
              <w:jc w:val="center"/>
              <w:rPr>
                <w:color w:val="FFFFFF" w:themeColor="background1"/>
                <w:sz w:val="18"/>
                <w:szCs w:val="18"/>
              </w:rPr>
            </w:pPr>
          </w:p>
        </w:tc>
        <w:tc>
          <w:tcPr>
            <w:tcW w:w="0" w:type="auto"/>
            <w:vMerge w:val="restart"/>
            <w:shd w:val="clear" w:color="auto" w:fill="9BBB59" w:themeFill="accent3"/>
          </w:tcPr>
          <w:p w14:paraId="7391D547" w14:textId="4479D243" w:rsidR="00060155" w:rsidRPr="00DF5BDC" w:rsidRDefault="00060155" w:rsidP="00060155">
            <w:pPr>
              <w:jc w:val="center"/>
              <w:rPr>
                <w:color w:val="FFFFFF" w:themeColor="background1"/>
                <w:sz w:val="18"/>
                <w:szCs w:val="18"/>
              </w:rPr>
            </w:pPr>
            <w:r w:rsidRPr="00DF5BDC">
              <w:rPr>
                <w:color w:val="FFFFFF" w:themeColor="background1"/>
                <w:sz w:val="18"/>
                <w:szCs w:val="18"/>
              </w:rPr>
              <w:t xml:space="preserve">Mean </w:t>
            </w:r>
            <w:r w:rsidR="00D45F3C" w:rsidRPr="00DF5BDC">
              <w:rPr>
                <w:color w:val="FFFFFF" w:themeColor="background1"/>
                <w:sz w:val="18"/>
                <w:szCs w:val="18"/>
              </w:rPr>
              <w:t xml:space="preserve">dietary </w:t>
            </w:r>
            <w:r w:rsidR="00D028CA" w:rsidRPr="00DF5BDC">
              <w:rPr>
                <w:color w:val="FFFFFF" w:themeColor="background1"/>
                <w:sz w:val="18"/>
                <w:szCs w:val="18"/>
              </w:rPr>
              <w:t xml:space="preserve">exposure to </w:t>
            </w:r>
            <w:r w:rsidR="00267364" w:rsidRPr="00DF5BDC">
              <w:rPr>
                <w:color w:val="FFFFFF" w:themeColor="background1"/>
                <w:sz w:val="18"/>
                <w:szCs w:val="18"/>
              </w:rPr>
              <w:t>mono- and diglycerides of fatty acids</w:t>
            </w:r>
            <w:r w:rsidRPr="00DF5BDC">
              <w:rPr>
                <w:color w:val="FFFFFF" w:themeColor="background1"/>
                <w:sz w:val="18"/>
                <w:szCs w:val="18"/>
              </w:rPr>
              <w:t xml:space="preserve"> as a percentage of mean total fat intake (%)</w:t>
            </w:r>
          </w:p>
          <w:p w14:paraId="3CB00333" w14:textId="77777777" w:rsidR="00060155" w:rsidRPr="00DF5BDC" w:rsidRDefault="00060155" w:rsidP="00060155">
            <w:pPr>
              <w:jc w:val="center"/>
              <w:rPr>
                <w:color w:val="FFFFFF" w:themeColor="background1"/>
                <w:sz w:val="18"/>
                <w:szCs w:val="18"/>
              </w:rPr>
            </w:pPr>
          </w:p>
        </w:tc>
      </w:tr>
      <w:tr w:rsidR="00D028CA" w:rsidRPr="00DF5BDC" w14:paraId="1D25C34C" w14:textId="77777777" w:rsidTr="005F4FEF">
        <w:trPr>
          <w:tblHeader/>
          <w:jc w:val="center"/>
        </w:trPr>
        <w:tc>
          <w:tcPr>
            <w:tcW w:w="0" w:type="auto"/>
            <w:vMerge/>
          </w:tcPr>
          <w:p w14:paraId="4E62AE95" w14:textId="77777777" w:rsidR="00060155" w:rsidRPr="00DF5BDC" w:rsidRDefault="00060155" w:rsidP="00060155">
            <w:pPr>
              <w:rPr>
                <w:sz w:val="18"/>
                <w:szCs w:val="18"/>
              </w:rPr>
            </w:pPr>
          </w:p>
        </w:tc>
        <w:tc>
          <w:tcPr>
            <w:tcW w:w="0" w:type="auto"/>
            <w:vMerge/>
          </w:tcPr>
          <w:p w14:paraId="3AD0719B" w14:textId="77777777" w:rsidR="00060155" w:rsidRPr="00DF5BDC" w:rsidRDefault="00060155" w:rsidP="00060155">
            <w:pPr>
              <w:rPr>
                <w:sz w:val="18"/>
                <w:szCs w:val="18"/>
              </w:rPr>
            </w:pPr>
          </w:p>
        </w:tc>
        <w:tc>
          <w:tcPr>
            <w:tcW w:w="0" w:type="auto"/>
            <w:vMerge/>
            <w:shd w:val="clear" w:color="auto" w:fill="9BBB59" w:themeFill="accent3"/>
          </w:tcPr>
          <w:p w14:paraId="69A31B3A" w14:textId="77777777" w:rsidR="00060155" w:rsidRPr="00DF5BDC" w:rsidRDefault="00060155" w:rsidP="00060155">
            <w:pPr>
              <w:jc w:val="center"/>
              <w:rPr>
                <w:color w:val="FFFFFF" w:themeColor="background1"/>
                <w:sz w:val="18"/>
                <w:szCs w:val="18"/>
              </w:rPr>
            </w:pPr>
          </w:p>
        </w:tc>
        <w:tc>
          <w:tcPr>
            <w:tcW w:w="0" w:type="auto"/>
            <w:shd w:val="clear" w:color="auto" w:fill="9BBB59" w:themeFill="accent3"/>
          </w:tcPr>
          <w:p w14:paraId="31586AB2" w14:textId="77777777" w:rsidR="00060155" w:rsidRPr="00DF5BDC" w:rsidRDefault="00060155" w:rsidP="00060155">
            <w:pPr>
              <w:jc w:val="center"/>
              <w:rPr>
                <w:color w:val="FFFFFF" w:themeColor="background1"/>
                <w:sz w:val="18"/>
                <w:szCs w:val="18"/>
              </w:rPr>
            </w:pPr>
            <w:r w:rsidRPr="00DF5BDC">
              <w:rPr>
                <w:color w:val="FFFFFF" w:themeColor="background1"/>
                <w:sz w:val="18"/>
                <w:szCs w:val="18"/>
              </w:rPr>
              <w:t>Fruit</w:t>
            </w:r>
          </w:p>
        </w:tc>
        <w:tc>
          <w:tcPr>
            <w:tcW w:w="0" w:type="auto"/>
            <w:shd w:val="clear" w:color="auto" w:fill="9BBB59" w:themeFill="accent3"/>
          </w:tcPr>
          <w:p w14:paraId="2801F459" w14:textId="77777777" w:rsidR="00060155" w:rsidRPr="00DF5BDC" w:rsidRDefault="00060155" w:rsidP="00060155">
            <w:pPr>
              <w:jc w:val="center"/>
              <w:rPr>
                <w:color w:val="FFFFFF" w:themeColor="background1"/>
                <w:sz w:val="18"/>
                <w:szCs w:val="18"/>
              </w:rPr>
            </w:pPr>
            <w:r w:rsidRPr="00DF5BDC">
              <w:rPr>
                <w:color w:val="FFFFFF" w:themeColor="background1"/>
                <w:sz w:val="18"/>
                <w:szCs w:val="18"/>
              </w:rPr>
              <w:t>Nuts and seeds</w:t>
            </w:r>
          </w:p>
        </w:tc>
        <w:tc>
          <w:tcPr>
            <w:tcW w:w="0" w:type="auto"/>
            <w:shd w:val="clear" w:color="auto" w:fill="9BBB59" w:themeFill="accent3"/>
          </w:tcPr>
          <w:p w14:paraId="6E07D152" w14:textId="7428FBF1" w:rsidR="00060155" w:rsidRPr="00DF5BDC" w:rsidRDefault="00060155" w:rsidP="00060155">
            <w:pPr>
              <w:jc w:val="center"/>
              <w:rPr>
                <w:color w:val="FFFFFF" w:themeColor="background1"/>
                <w:sz w:val="18"/>
                <w:szCs w:val="18"/>
              </w:rPr>
            </w:pPr>
            <w:r w:rsidRPr="00DF5BDC">
              <w:rPr>
                <w:color w:val="FFFFFF" w:themeColor="background1"/>
                <w:sz w:val="18"/>
                <w:szCs w:val="18"/>
              </w:rPr>
              <w:t>Vegetables</w:t>
            </w:r>
            <w:r w:rsidR="000D7A51" w:rsidRPr="00DF5BDC">
              <w:rPr>
                <w:color w:val="FFFFFF" w:themeColor="background1"/>
                <w:sz w:val="18"/>
                <w:szCs w:val="18"/>
              </w:rPr>
              <w:t xml:space="preserve"> </w:t>
            </w:r>
            <w:r w:rsidR="000D7A51" w:rsidRPr="00DF5BDC">
              <w:rPr>
                <w:color w:val="FFFFFF" w:themeColor="background1"/>
                <w:sz w:val="14"/>
                <w:szCs w:val="18"/>
              </w:rPr>
              <w:t>(excluding potatoes, kumara and taro)</w:t>
            </w:r>
          </w:p>
        </w:tc>
        <w:tc>
          <w:tcPr>
            <w:tcW w:w="0" w:type="auto"/>
            <w:shd w:val="clear" w:color="auto" w:fill="9BBB59" w:themeFill="accent3"/>
          </w:tcPr>
          <w:p w14:paraId="3CF63292" w14:textId="77777777" w:rsidR="00060155" w:rsidRPr="00DF5BDC" w:rsidRDefault="00060155" w:rsidP="00060155">
            <w:pPr>
              <w:jc w:val="center"/>
              <w:rPr>
                <w:color w:val="FFFFFF" w:themeColor="background1"/>
                <w:sz w:val="18"/>
                <w:szCs w:val="18"/>
              </w:rPr>
            </w:pPr>
            <w:r w:rsidRPr="00DF5BDC">
              <w:rPr>
                <w:color w:val="FFFFFF" w:themeColor="background1"/>
                <w:sz w:val="18"/>
                <w:szCs w:val="18"/>
              </w:rPr>
              <w:t>Potatoes, kumara and taro</w:t>
            </w:r>
          </w:p>
        </w:tc>
        <w:tc>
          <w:tcPr>
            <w:tcW w:w="0" w:type="auto"/>
            <w:vMerge/>
            <w:shd w:val="clear" w:color="auto" w:fill="9BBB59" w:themeFill="accent3"/>
          </w:tcPr>
          <w:p w14:paraId="4BFEE793" w14:textId="77777777" w:rsidR="00060155" w:rsidRPr="00DF5BDC" w:rsidRDefault="00060155" w:rsidP="00060155">
            <w:pPr>
              <w:rPr>
                <w:sz w:val="18"/>
                <w:szCs w:val="18"/>
              </w:rPr>
            </w:pPr>
          </w:p>
        </w:tc>
        <w:tc>
          <w:tcPr>
            <w:tcW w:w="0" w:type="auto"/>
            <w:vMerge/>
          </w:tcPr>
          <w:p w14:paraId="0D06D8C2" w14:textId="77777777" w:rsidR="00060155" w:rsidRPr="00DF5BDC" w:rsidRDefault="00060155" w:rsidP="00060155">
            <w:pPr>
              <w:rPr>
                <w:sz w:val="18"/>
                <w:szCs w:val="18"/>
              </w:rPr>
            </w:pPr>
          </w:p>
        </w:tc>
        <w:tc>
          <w:tcPr>
            <w:tcW w:w="0" w:type="auto"/>
            <w:vMerge/>
          </w:tcPr>
          <w:p w14:paraId="5AB64299" w14:textId="77777777" w:rsidR="00060155" w:rsidRPr="00DF5BDC" w:rsidRDefault="00060155" w:rsidP="00060155">
            <w:pPr>
              <w:rPr>
                <w:sz w:val="18"/>
                <w:szCs w:val="18"/>
              </w:rPr>
            </w:pPr>
          </w:p>
        </w:tc>
      </w:tr>
      <w:tr w:rsidR="00D028CA" w:rsidRPr="00DF5BDC" w14:paraId="3DEF3CE4" w14:textId="77777777" w:rsidTr="00060155">
        <w:trPr>
          <w:jc w:val="center"/>
        </w:trPr>
        <w:tc>
          <w:tcPr>
            <w:tcW w:w="0" w:type="auto"/>
            <w:vMerge w:val="restart"/>
            <w:vAlign w:val="center"/>
          </w:tcPr>
          <w:p w14:paraId="4CC1FAAC" w14:textId="77777777" w:rsidR="00060155" w:rsidRPr="00DF5BDC" w:rsidRDefault="00060155" w:rsidP="00060155">
            <w:pPr>
              <w:rPr>
                <w:b/>
                <w:sz w:val="18"/>
                <w:szCs w:val="18"/>
              </w:rPr>
            </w:pPr>
            <w:r w:rsidRPr="00DF5BDC">
              <w:rPr>
                <w:sz w:val="18"/>
                <w:szCs w:val="18"/>
              </w:rPr>
              <w:t>New Zealand</w:t>
            </w:r>
            <w:r w:rsidRPr="00DF5BDC">
              <w:rPr>
                <w:rFonts w:cs="Arial"/>
                <w:b/>
                <w:sz w:val="18"/>
                <w:szCs w:val="18"/>
                <w:vertAlign w:val="superscript"/>
              </w:rPr>
              <w:sym w:font="Symbol" w:char="F0D1"/>
            </w:r>
          </w:p>
        </w:tc>
        <w:tc>
          <w:tcPr>
            <w:tcW w:w="0" w:type="auto"/>
          </w:tcPr>
          <w:p w14:paraId="48BA7DF0" w14:textId="77777777" w:rsidR="00060155" w:rsidRPr="00DF5BDC" w:rsidRDefault="00060155" w:rsidP="00060155">
            <w:pPr>
              <w:jc w:val="center"/>
              <w:rPr>
                <w:sz w:val="18"/>
                <w:szCs w:val="18"/>
              </w:rPr>
            </w:pPr>
            <w:r w:rsidRPr="00DF5BDC">
              <w:rPr>
                <w:sz w:val="18"/>
                <w:szCs w:val="18"/>
              </w:rPr>
              <w:t>5-14 years</w:t>
            </w:r>
          </w:p>
        </w:tc>
        <w:tc>
          <w:tcPr>
            <w:tcW w:w="0" w:type="auto"/>
          </w:tcPr>
          <w:p w14:paraId="357E37C8" w14:textId="363713E1" w:rsidR="00060155" w:rsidRPr="00DF5BDC" w:rsidRDefault="00060155" w:rsidP="00060155">
            <w:pPr>
              <w:jc w:val="center"/>
              <w:rPr>
                <w:sz w:val="18"/>
                <w:szCs w:val="18"/>
              </w:rPr>
            </w:pPr>
            <w:r w:rsidRPr="00DF5BDC">
              <w:rPr>
                <w:sz w:val="18"/>
                <w:szCs w:val="18"/>
              </w:rPr>
              <w:t>3275</w:t>
            </w:r>
          </w:p>
        </w:tc>
        <w:tc>
          <w:tcPr>
            <w:tcW w:w="0" w:type="auto"/>
          </w:tcPr>
          <w:p w14:paraId="462EB418" w14:textId="77777777" w:rsidR="00060155" w:rsidRPr="00DF5BDC" w:rsidRDefault="00060155" w:rsidP="00060155">
            <w:pPr>
              <w:jc w:val="center"/>
              <w:rPr>
                <w:sz w:val="18"/>
                <w:szCs w:val="18"/>
              </w:rPr>
            </w:pPr>
            <w:r w:rsidRPr="00DF5BDC">
              <w:rPr>
                <w:sz w:val="18"/>
                <w:szCs w:val="18"/>
              </w:rPr>
              <w:t>162</w:t>
            </w:r>
          </w:p>
        </w:tc>
        <w:tc>
          <w:tcPr>
            <w:tcW w:w="0" w:type="auto"/>
          </w:tcPr>
          <w:p w14:paraId="08BFDEA7" w14:textId="77777777" w:rsidR="00060155" w:rsidRPr="00DF5BDC" w:rsidRDefault="00060155" w:rsidP="00060155">
            <w:pPr>
              <w:jc w:val="center"/>
              <w:rPr>
                <w:sz w:val="18"/>
                <w:szCs w:val="18"/>
              </w:rPr>
            </w:pPr>
            <w:r w:rsidRPr="00DF5BDC">
              <w:rPr>
                <w:sz w:val="18"/>
                <w:szCs w:val="18"/>
              </w:rPr>
              <w:t>6</w:t>
            </w:r>
          </w:p>
        </w:tc>
        <w:tc>
          <w:tcPr>
            <w:tcW w:w="0" w:type="auto"/>
          </w:tcPr>
          <w:p w14:paraId="43CD6FA7" w14:textId="77777777" w:rsidR="00060155" w:rsidRPr="00DF5BDC" w:rsidRDefault="00060155" w:rsidP="00060155">
            <w:pPr>
              <w:jc w:val="center"/>
              <w:rPr>
                <w:sz w:val="18"/>
                <w:szCs w:val="18"/>
              </w:rPr>
            </w:pPr>
            <w:r w:rsidRPr="00DF5BDC">
              <w:rPr>
                <w:sz w:val="18"/>
                <w:szCs w:val="18"/>
              </w:rPr>
              <w:t>74</w:t>
            </w:r>
          </w:p>
        </w:tc>
        <w:tc>
          <w:tcPr>
            <w:tcW w:w="0" w:type="auto"/>
          </w:tcPr>
          <w:p w14:paraId="3B414258" w14:textId="77777777" w:rsidR="00060155" w:rsidRPr="00DF5BDC" w:rsidRDefault="00060155" w:rsidP="00060155">
            <w:pPr>
              <w:jc w:val="center"/>
              <w:rPr>
                <w:sz w:val="18"/>
                <w:szCs w:val="18"/>
              </w:rPr>
            </w:pPr>
            <w:r w:rsidRPr="00DF5BDC">
              <w:rPr>
                <w:sz w:val="18"/>
                <w:szCs w:val="18"/>
              </w:rPr>
              <w:t>100</w:t>
            </w:r>
          </w:p>
        </w:tc>
        <w:tc>
          <w:tcPr>
            <w:tcW w:w="0" w:type="auto"/>
          </w:tcPr>
          <w:p w14:paraId="519AFA4B" w14:textId="77777777" w:rsidR="00060155" w:rsidRPr="00DF5BDC" w:rsidRDefault="00060155" w:rsidP="00060155">
            <w:pPr>
              <w:jc w:val="center"/>
              <w:rPr>
                <w:sz w:val="18"/>
                <w:szCs w:val="18"/>
              </w:rPr>
            </w:pPr>
            <w:r w:rsidRPr="00DF5BDC">
              <w:rPr>
                <w:sz w:val="18"/>
                <w:szCs w:val="18"/>
              </w:rPr>
              <w:t>520</w:t>
            </w:r>
          </w:p>
        </w:tc>
        <w:tc>
          <w:tcPr>
            <w:tcW w:w="0" w:type="auto"/>
          </w:tcPr>
          <w:p w14:paraId="4180DE4C" w14:textId="77777777" w:rsidR="00060155" w:rsidRPr="00DF5BDC" w:rsidRDefault="00060155" w:rsidP="00060155">
            <w:pPr>
              <w:jc w:val="center"/>
              <w:rPr>
                <w:sz w:val="18"/>
                <w:szCs w:val="18"/>
              </w:rPr>
            </w:pPr>
            <w:r w:rsidRPr="00DF5BDC">
              <w:rPr>
                <w:sz w:val="18"/>
                <w:szCs w:val="18"/>
              </w:rPr>
              <w:t>76.9</w:t>
            </w:r>
          </w:p>
        </w:tc>
        <w:tc>
          <w:tcPr>
            <w:tcW w:w="0" w:type="auto"/>
          </w:tcPr>
          <w:p w14:paraId="07DCD54A" w14:textId="77777777" w:rsidR="00060155" w:rsidRPr="00DF5BDC" w:rsidRDefault="00060155" w:rsidP="00060155">
            <w:pPr>
              <w:jc w:val="center"/>
              <w:rPr>
                <w:sz w:val="18"/>
                <w:szCs w:val="18"/>
              </w:rPr>
            </w:pPr>
            <w:r w:rsidRPr="00DF5BDC">
              <w:rPr>
                <w:sz w:val="18"/>
                <w:szCs w:val="18"/>
              </w:rPr>
              <w:t>0.7</w:t>
            </w:r>
          </w:p>
        </w:tc>
      </w:tr>
      <w:tr w:rsidR="00D028CA" w:rsidRPr="00DF5BDC" w14:paraId="024119E5" w14:textId="77777777" w:rsidTr="00060155">
        <w:trPr>
          <w:jc w:val="center"/>
        </w:trPr>
        <w:tc>
          <w:tcPr>
            <w:tcW w:w="0" w:type="auto"/>
            <w:vMerge/>
          </w:tcPr>
          <w:p w14:paraId="1DFFDBD5" w14:textId="77777777" w:rsidR="00060155" w:rsidRPr="00DF5BDC" w:rsidRDefault="00060155" w:rsidP="00060155">
            <w:pPr>
              <w:rPr>
                <w:sz w:val="18"/>
                <w:szCs w:val="18"/>
              </w:rPr>
            </w:pPr>
          </w:p>
        </w:tc>
        <w:tc>
          <w:tcPr>
            <w:tcW w:w="0" w:type="auto"/>
          </w:tcPr>
          <w:p w14:paraId="7BA14E85" w14:textId="77777777" w:rsidR="00060155" w:rsidRPr="00DF5BDC" w:rsidRDefault="00060155" w:rsidP="00060155">
            <w:pPr>
              <w:jc w:val="center"/>
              <w:rPr>
                <w:sz w:val="18"/>
                <w:szCs w:val="18"/>
              </w:rPr>
            </w:pPr>
            <w:r w:rsidRPr="00DF5BDC">
              <w:rPr>
                <w:sz w:val="18"/>
                <w:szCs w:val="18"/>
              </w:rPr>
              <w:t>15 years and above</w:t>
            </w:r>
          </w:p>
        </w:tc>
        <w:tc>
          <w:tcPr>
            <w:tcW w:w="0" w:type="auto"/>
          </w:tcPr>
          <w:p w14:paraId="764E43D7" w14:textId="7A026684" w:rsidR="00060155" w:rsidRPr="00DF5BDC" w:rsidRDefault="00060155" w:rsidP="00060155">
            <w:pPr>
              <w:jc w:val="center"/>
              <w:rPr>
                <w:sz w:val="18"/>
                <w:szCs w:val="18"/>
              </w:rPr>
            </w:pPr>
            <w:r w:rsidRPr="00DF5BDC">
              <w:rPr>
                <w:sz w:val="18"/>
                <w:szCs w:val="18"/>
              </w:rPr>
              <w:t>4721</w:t>
            </w:r>
          </w:p>
        </w:tc>
        <w:tc>
          <w:tcPr>
            <w:tcW w:w="0" w:type="auto"/>
          </w:tcPr>
          <w:p w14:paraId="338D954E" w14:textId="77777777" w:rsidR="00060155" w:rsidRPr="00DF5BDC" w:rsidRDefault="00060155" w:rsidP="00060155">
            <w:pPr>
              <w:jc w:val="center"/>
              <w:rPr>
                <w:sz w:val="18"/>
                <w:szCs w:val="18"/>
              </w:rPr>
            </w:pPr>
            <w:r w:rsidRPr="00DF5BDC">
              <w:rPr>
                <w:sz w:val="18"/>
                <w:szCs w:val="18"/>
              </w:rPr>
              <w:t>151</w:t>
            </w:r>
          </w:p>
        </w:tc>
        <w:tc>
          <w:tcPr>
            <w:tcW w:w="0" w:type="auto"/>
          </w:tcPr>
          <w:p w14:paraId="59A59119" w14:textId="77777777" w:rsidR="00060155" w:rsidRPr="00DF5BDC" w:rsidRDefault="00060155" w:rsidP="00060155">
            <w:pPr>
              <w:jc w:val="center"/>
              <w:rPr>
                <w:sz w:val="18"/>
                <w:szCs w:val="18"/>
              </w:rPr>
            </w:pPr>
            <w:r w:rsidRPr="00DF5BDC">
              <w:rPr>
                <w:sz w:val="18"/>
                <w:szCs w:val="18"/>
              </w:rPr>
              <w:t>5</w:t>
            </w:r>
          </w:p>
        </w:tc>
        <w:tc>
          <w:tcPr>
            <w:tcW w:w="0" w:type="auto"/>
          </w:tcPr>
          <w:p w14:paraId="3FBC5C06" w14:textId="77777777" w:rsidR="00060155" w:rsidRPr="00DF5BDC" w:rsidRDefault="00060155" w:rsidP="00060155">
            <w:pPr>
              <w:jc w:val="center"/>
              <w:rPr>
                <w:sz w:val="18"/>
                <w:szCs w:val="18"/>
              </w:rPr>
            </w:pPr>
            <w:r w:rsidRPr="00DF5BDC">
              <w:rPr>
                <w:sz w:val="18"/>
                <w:szCs w:val="18"/>
              </w:rPr>
              <w:t>155</w:t>
            </w:r>
          </w:p>
        </w:tc>
        <w:tc>
          <w:tcPr>
            <w:tcW w:w="0" w:type="auto"/>
          </w:tcPr>
          <w:p w14:paraId="38233A42" w14:textId="77777777" w:rsidR="00060155" w:rsidRPr="00DF5BDC" w:rsidRDefault="00060155" w:rsidP="00060155">
            <w:pPr>
              <w:jc w:val="center"/>
              <w:rPr>
                <w:sz w:val="18"/>
                <w:szCs w:val="18"/>
              </w:rPr>
            </w:pPr>
            <w:r w:rsidRPr="00DF5BDC">
              <w:rPr>
                <w:sz w:val="18"/>
                <w:szCs w:val="18"/>
              </w:rPr>
              <w:t>105</w:t>
            </w:r>
          </w:p>
        </w:tc>
        <w:tc>
          <w:tcPr>
            <w:tcW w:w="0" w:type="auto"/>
          </w:tcPr>
          <w:p w14:paraId="3A7EB4EB" w14:textId="77777777" w:rsidR="00060155" w:rsidRPr="00DF5BDC" w:rsidRDefault="00060155" w:rsidP="00060155">
            <w:pPr>
              <w:jc w:val="center"/>
              <w:rPr>
                <w:sz w:val="18"/>
                <w:szCs w:val="18"/>
              </w:rPr>
            </w:pPr>
            <w:r w:rsidRPr="00DF5BDC">
              <w:rPr>
                <w:sz w:val="18"/>
                <w:szCs w:val="18"/>
              </w:rPr>
              <w:t>633</w:t>
            </w:r>
          </w:p>
        </w:tc>
        <w:tc>
          <w:tcPr>
            <w:tcW w:w="0" w:type="auto"/>
          </w:tcPr>
          <w:p w14:paraId="29EF6507" w14:textId="77777777" w:rsidR="00060155" w:rsidRPr="00DF5BDC" w:rsidRDefault="00060155" w:rsidP="00060155">
            <w:pPr>
              <w:jc w:val="center"/>
              <w:rPr>
                <w:sz w:val="18"/>
                <w:szCs w:val="18"/>
              </w:rPr>
            </w:pPr>
            <w:r w:rsidRPr="00DF5BDC">
              <w:rPr>
                <w:sz w:val="18"/>
                <w:szCs w:val="18"/>
              </w:rPr>
              <w:t>82.9</w:t>
            </w:r>
          </w:p>
        </w:tc>
        <w:tc>
          <w:tcPr>
            <w:tcW w:w="0" w:type="auto"/>
          </w:tcPr>
          <w:p w14:paraId="60038639" w14:textId="77777777" w:rsidR="00060155" w:rsidRPr="00DF5BDC" w:rsidRDefault="00060155" w:rsidP="00060155">
            <w:pPr>
              <w:jc w:val="center"/>
              <w:rPr>
                <w:sz w:val="18"/>
                <w:szCs w:val="18"/>
              </w:rPr>
            </w:pPr>
            <w:r w:rsidRPr="00DF5BDC">
              <w:rPr>
                <w:sz w:val="18"/>
                <w:szCs w:val="18"/>
              </w:rPr>
              <w:t>0.8</w:t>
            </w:r>
          </w:p>
        </w:tc>
      </w:tr>
    </w:tbl>
    <w:p w14:paraId="1499CB73" w14:textId="233D4DBB" w:rsidR="00060155" w:rsidRPr="00DF5BDC" w:rsidRDefault="00060155" w:rsidP="00C071A9">
      <w:pPr>
        <w:ind w:left="567" w:hanging="567"/>
        <w:rPr>
          <w:rFonts w:cs="Arial"/>
          <w:sz w:val="18"/>
          <w:szCs w:val="18"/>
        </w:rPr>
      </w:pPr>
      <w:r w:rsidRPr="00DF5BDC">
        <w:rPr>
          <w:rFonts w:cs="Arial"/>
          <w:b/>
          <w:sz w:val="18"/>
          <w:szCs w:val="18"/>
          <w:vertAlign w:val="superscript"/>
        </w:rPr>
        <w:sym w:font="Symbol" w:char="F0D1"/>
      </w:r>
      <w:r w:rsidR="006B2A3A" w:rsidRPr="00DF5BDC">
        <w:rPr>
          <w:rFonts w:cs="Arial"/>
          <w:b/>
          <w:sz w:val="18"/>
          <w:szCs w:val="18"/>
          <w:vertAlign w:val="superscript"/>
        </w:rPr>
        <w:tab/>
      </w:r>
      <w:r w:rsidRPr="00DF5BDC">
        <w:rPr>
          <w:sz w:val="18"/>
          <w:szCs w:val="18"/>
        </w:rPr>
        <w:t>2002 New Zealand National Children’s Nutrition Survey and the 2008–09 New Zealand Adult Nutrition Survey</w:t>
      </w:r>
      <w:r w:rsidRPr="00DF5BDC">
        <w:rPr>
          <w:rFonts w:cs="Arial"/>
          <w:sz w:val="18"/>
          <w:szCs w:val="18"/>
        </w:rPr>
        <w:t>. Based on day 1 consumption data only from all respondents.</w:t>
      </w:r>
    </w:p>
    <w:p w14:paraId="0A00088B" w14:textId="77A9BE26" w:rsidR="000B1A2C" w:rsidRDefault="000B1A2C" w:rsidP="000B1A2C">
      <w:pPr>
        <w:ind w:left="567" w:hanging="567"/>
        <w:rPr>
          <w:rFonts w:cs="Arial"/>
          <w:sz w:val="18"/>
          <w:szCs w:val="18"/>
        </w:rPr>
      </w:pPr>
      <w:r w:rsidRPr="00DF5BDC">
        <w:rPr>
          <w:rFonts w:cs="Arial"/>
          <w:sz w:val="18"/>
          <w:szCs w:val="18"/>
          <w:vertAlign w:val="superscript"/>
        </w:rPr>
        <w:t>¥¥</w:t>
      </w:r>
      <w:r w:rsidRPr="00DF5BDC">
        <w:rPr>
          <w:rFonts w:cs="Arial"/>
          <w:sz w:val="18"/>
          <w:szCs w:val="18"/>
          <w:vertAlign w:val="superscript"/>
        </w:rPr>
        <w:tab/>
      </w:r>
      <w:r w:rsidRPr="00DF5BDC">
        <w:rPr>
          <w:rFonts w:cs="Arial"/>
          <w:sz w:val="18"/>
          <w:szCs w:val="18"/>
        </w:rPr>
        <w:t xml:space="preserve">Herbs and spices were included in the Vegetables survey food group in the 2008-09 New Zealand Adult Nutrition Survey. Consumption of </w:t>
      </w:r>
      <w:r w:rsidR="00DF5BDC">
        <w:rPr>
          <w:rFonts w:cs="Arial"/>
          <w:sz w:val="18"/>
          <w:szCs w:val="18"/>
        </w:rPr>
        <w:t xml:space="preserve">dried </w:t>
      </w:r>
      <w:r w:rsidRPr="00DF5BDC">
        <w:rPr>
          <w:rFonts w:cs="Arial"/>
          <w:sz w:val="18"/>
          <w:szCs w:val="18"/>
        </w:rPr>
        <w:t xml:space="preserve">herbs and spices not expressly reported in the </w:t>
      </w:r>
      <w:r w:rsidRPr="00DF5BDC">
        <w:rPr>
          <w:sz w:val="18"/>
          <w:szCs w:val="18"/>
        </w:rPr>
        <w:t>2002 New Zealand National Children’s Nutrition Survey.</w:t>
      </w:r>
    </w:p>
    <w:p w14:paraId="12EA66F8" w14:textId="08618209" w:rsidR="00060155" w:rsidRDefault="00060155" w:rsidP="00060155">
      <w:pPr>
        <w:rPr>
          <w:rFonts w:cs="Arial"/>
          <w:sz w:val="18"/>
          <w:szCs w:val="18"/>
        </w:rPr>
      </w:pPr>
      <w:r w:rsidRPr="00C94FFC">
        <w:rPr>
          <w:sz w:val="18"/>
          <w:szCs w:val="18"/>
          <w:vertAlign w:val="superscript"/>
        </w:rPr>
        <w:sym w:font="Symbol" w:char="F02A"/>
      </w:r>
      <w:r>
        <w:rPr>
          <w:rFonts w:cs="Arial"/>
          <w:sz w:val="18"/>
          <w:szCs w:val="18"/>
        </w:rPr>
        <w:t>**</w:t>
      </w:r>
      <w:r w:rsidR="006B2A3A">
        <w:rPr>
          <w:rFonts w:cs="Arial"/>
          <w:sz w:val="18"/>
          <w:szCs w:val="18"/>
        </w:rPr>
        <w:tab/>
      </w:r>
      <w:r>
        <w:rPr>
          <w:rFonts w:cs="Arial"/>
          <w:sz w:val="18"/>
          <w:szCs w:val="18"/>
        </w:rPr>
        <w:t xml:space="preserve">Based on </w:t>
      </w:r>
      <w:r w:rsidR="00267364" w:rsidRPr="00D028CA">
        <w:rPr>
          <w:sz w:val="18"/>
          <w:szCs w:val="18"/>
        </w:rPr>
        <w:t>mono- and diglycerides of fatty acids</w:t>
      </w:r>
      <w:r w:rsidR="00907059">
        <w:rPr>
          <w:sz w:val="18"/>
          <w:szCs w:val="18"/>
        </w:rPr>
        <w:t xml:space="preserve"> concentration</w:t>
      </w:r>
      <w:r>
        <w:rPr>
          <w:rFonts w:cs="Arial"/>
          <w:sz w:val="18"/>
          <w:szCs w:val="18"/>
        </w:rPr>
        <w:t xml:space="preserve"> of 152 g/100 kg produce.</w:t>
      </w:r>
    </w:p>
    <w:p w14:paraId="457CFA68" w14:textId="748F514A" w:rsidR="00060155" w:rsidRDefault="00060155" w:rsidP="00060155">
      <w:pPr>
        <w:rPr>
          <w:rFonts w:cs="Arial"/>
          <w:sz w:val="18"/>
          <w:szCs w:val="18"/>
        </w:rPr>
      </w:pPr>
      <w:r w:rsidRPr="00C94FFC">
        <w:rPr>
          <w:rFonts w:cs="Arial"/>
          <w:b/>
          <w:sz w:val="18"/>
          <w:szCs w:val="18"/>
          <w:vertAlign w:val="superscript"/>
        </w:rPr>
        <w:sym w:font="Symbol" w:char="F0D1"/>
      </w:r>
      <w:r w:rsidRPr="00C94FFC">
        <w:rPr>
          <w:rFonts w:cs="Arial"/>
          <w:b/>
          <w:sz w:val="18"/>
          <w:szCs w:val="18"/>
          <w:vertAlign w:val="superscript"/>
        </w:rPr>
        <w:sym w:font="Symbol" w:char="F0D1"/>
      </w:r>
      <w:r w:rsidR="006B2A3A">
        <w:rPr>
          <w:rFonts w:cs="Arial"/>
          <w:sz w:val="18"/>
          <w:szCs w:val="18"/>
        </w:rPr>
        <w:tab/>
      </w:r>
      <w:r w:rsidRPr="00C94FFC">
        <w:rPr>
          <w:rFonts w:cs="Arial"/>
          <w:sz w:val="18"/>
          <w:szCs w:val="18"/>
        </w:rPr>
        <w:t xml:space="preserve">Based on day 1 </w:t>
      </w:r>
      <w:r>
        <w:rPr>
          <w:rFonts w:cs="Arial"/>
          <w:sz w:val="18"/>
          <w:szCs w:val="18"/>
        </w:rPr>
        <w:t xml:space="preserve">consumption data only from all </w:t>
      </w:r>
      <w:r w:rsidRPr="00C94FFC">
        <w:rPr>
          <w:rFonts w:cs="Arial"/>
          <w:sz w:val="18"/>
          <w:szCs w:val="18"/>
        </w:rPr>
        <w:t>respondents</w:t>
      </w:r>
      <w:r w:rsidR="00553B4C">
        <w:rPr>
          <w:rFonts w:cs="Arial"/>
          <w:sz w:val="18"/>
          <w:szCs w:val="18"/>
        </w:rPr>
        <w:t>. Data</w:t>
      </w:r>
      <w:r>
        <w:rPr>
          <w:rFonts w:cs="Arial"/>
          <w:sz w:val="18"/>
          <w:szCs w:val="18"/>
        </w:rPr>
        <w:t xml:space="preserve"> extracted from Harvest</w:t>
      </w:r>
      <w:r w:rsidRPr="00965BD8">
        <w:rPr>
          <w:rFonts w:cs="Arial"/>
          <w:sz w:val="18"/>
          <w:szCs w:val="18"/>
          <w:vertAlign w:val="superscript"/>
        </w:rPr>
        <w:fldChar w:fldCharType="begin"/>
      </w:r>
      <w:r w:rsidRPr="00965BD8">
        <w:rPr>
          <w:rFonts w:cs="Arial"/>
          <w:sz w:val="18"/>
          <w:szCs w:val="18"/>
          <w:vertAlign w:val="superscript"/>
        </w:rPr>
        <w:instrText xml:space="preserve"> NOTEREF _Ref45715301 \h </w:instrText>
      </w:r>
      <w:r>
        <w:rPr>
          <w:rFonts w:cs="Arial"/>
          <w:sz w:val="18"/>
          <w:szCs w:val="18"/>
          <w:vertAlign w:val="superscript"/>
        </w:rPr>
        <w:instrText xml:space="preserve"> \* MERGEFORMAT </w:instrText>
      </w:r>
      <w:r w:rsidRPr="00965BD8">
        <w:rPr>
          <w:rFonts w:cs="Arial"/>
          <w:sz w:val="18"/>
          <w:szCs w:val="18"/>
          <w:vertAlign w:val="superscript"/>
        </w:rPr>
      </w:r>
      <w:r w:rsidRPr="00965BD8">
        <w:rPr>
          <w:rFonts w:cs="Arial"/>
          <w:sz w:val="18"/>
          <w:szCs w:val="18"/>
          <w:vertAlign w:val="superscript"/>
        </w:rPr>
        <w:fldChar w:fldCharType="separate"/>
      </w:r>
      <w:r w:rsidR="00515ADA">
        <w:rPr>
          <w:rFonts w:cs="Arial"/>
          <w:sz w:val="18"/>
          <w:szCs w:val="18"/>
          <w:vertAlign w:val="superscript"/>
        </w:rPr>
        <w:t>4</w:t>
      </w:r>
      <w:r w:rsidRPr="00965BD8">
        <w:rPr>
          <w:rFonts w:cs="Arial"/>
          <w:sz w:val="18"/>
          <w:szCs w:val="18"/>
          <w:vertAlign w:val="superscript"/>
        </w:rPr>
        <w:fldChar w:fldCharType="end"/>
      </w:r>
      <w:r>
        <w:rPr>
          <w:rFonts w:cs="Arial"/>
          <w:sz w:val="18"/>
          <w:szCs w:val="18"/>
        </w:rPr>
        <w:t>.</w:t>
      </w:r>
    </w:p>
    <w:p w14:paraId="053832DD" w14:textId="4C0A31A7" w:rsidR="00060155" w:rsidRPr="00CD1876" w:rsidRDefault="00060155" w:rsidP="00060155">
      <w:pPr>
        <w:tabs>
          <w:tab w:val="left" w:pos="1512"/>
        </w:tabs>
        <w:sectPr w:rsidR="00060155" w:rsidRPr="00CD1876" w:rsidSect="00060155">
          <w:pgSz w:w="16838" w:h="11906" w:orient="landscape"/>
          <w:pgMar w:top="1418" w:right="1418" w:bottom="1418" w:left="1418" w:header="709" w:footer="709" w:gutter="0"/>
          <w:cols w:space="708"/>
          <w:docGrid w:linePitch="360"/>
        </w:sectPr>
      </w:pPr>
      <w:r>
        <w:tab/>
      </w:r>
    </w:p>
    <w:p w14:paraId="047755F2" w14:textId="1C244998" w:rsidR="0042368D" w:rsidRDefault="00060155" w:rsidP="0042368D">
      <w:pPr>
        <w:pStyle w:val="Heading1"/>
        <w:rPr>
          <w:lang w:eastAsia="en-AU"/>
        </w:rPr>
      </w:pPr>
      <w:bookmarkStart w:id="89" w:name="_Toc42849613"/>
      <w:bookmarkStart w:id="90" w:name="_Toc46487142"/>
      <w:bookmarkStart w:id="91" w:name="_Toc58251568"/>
      <w:r>
        <w:rPr>
          <w:lang w:eastAsia="en-AU"/>
        </w:rPr>
        <w:lastRenderedPageBreak/>
        <w:t>5</w:t>
      </w:r>
      <w:r w:rsidR="0042368D">
        <w:rPr>
          <w:lang w:eastAsia="en-AU"/>
        </w:rPr>
        <w:tab/>
        <w:t>Discussion</w:t>
      </w:r>
      <w:bookmarkEnd w:id="89"/>
      <w:bookmarkEnd w:id="90"/>
      <w:bookmarkEnd w:id="91"/>
    </w:p>
    <w:p w14:paraId="73943F9B" w14:textId="007B4B52" w:rsidR="003775A1" w:rsidRDefault="006D5F9F" w:rsidP="0042368D">
      <w:pPr>
        <w:rPr>
          <w:lang w:eastAsia="en-AU" w:bidi="ar-SA"/>
        </w:rPr>
      </w:pPr>
      <w:r>
        <w:rPr>
          <w:lang w:eastAsia="en-AU" w:bidi="ar-SA"/>
        </w:rPr>
        <w:t>This application is for an extension of use of INS 471, already approved for a number of purposes as an emulsifier/stabilizer in the Code, as a surface treatment for fresh fruits and vegetables. JECFA (1974 a</w:t>
      </w:r>
      <w:r w:rsidR="000F292C">
        <w:rPr>
          <w:lang w:eastAsia="en-AU" w:bidi="ar-SA"/>
        </w:rPr>
        <w:t>,</w:t>
      </w:r>
      <w:r>
        <w:rPr>
          <w:lang w:eastAsia="en-AU" w:bidi="ar-SA"/>
        </w:rPr>
        <w:t>b)</w:t>
      </w:r>
      <w:r w:rsidR="001412EA">
        <w:rPr>
          <w:lang w:eastAsia="en-AU" w:bidi="ar-SA"/>
        </w:rPr>
        <w:t xml:space="preserve"> </w:t>
      </w:r>
      <w:r>
        <w:rPr>
          <w:lang w:eastAsia="en-AU" w:bidi="ar-SA"/>
        </w:rPr>
        <w:t xml:space="preserve">concluded that mono- and diglycerides used as emulsifiers and stabilizers are not significantly different to dietary lipids and undergo the same metabolic processes. </w:t>
      </w:r>
      <w:r w:rsidR="003775A1">
        <w:rPr>
          <w:lang w:eastAsia="en-AU" w:bidi="ar-SA"/>
        </w:rPr>
        <w:t xml:space="preserve">The Committee concluded that a numerical ADI was not required. </w:t>
      </w:r>
    </w:p>
    <w:p w14:paraId="1086690B" w14:textId="77777777" w:rsidR="003775A1" w:rsidRDefault="003775A1" w:rsidP="0042368D">
      <w:pPr>
        <w:rPr>
          <w:lang w:eastAsia="en-AU" w:bidi="ar-SA"/>
        </w:rPr>
      </w:pPr>
    </w:p>
    <w:p w14:paraId="053E67FD" w14:textId="19555272" w:rsidR="00814ACB" w:rsidRDefault="006D5F9F" w:rsidP="0042368D">
      <w:pPr>
        <w:rPr>
          <w:lang w:eastAsia="en-AU" w:bidi="ar-SA"/>
        </w:rPr>
      </w:pPr>
      <w:r w:rsidRPr="006D5F9F">
        <w:rPr>
          <w:lang w:eastAsia="en-AU" w:bidi="ar-SA"/>
        </w:rPr>
        <w:t>No new information was submitted or located by literature search that contradicts the conclusions of JECFA (1974</w:t>
      </w:r>
      <w:r w:rsidR="003C1BAF">
        <w:rPr>
          <w:lang w:eastAsia="en-AU" w:bidi="ar-SA"/>
        </w:rPr>
        <w:t xml:space="preserve"> </w:t>
      </w:r>
      <w:r w:rsidRPr="006D5F9F">
        <w:rPr>
          <w:lang w:eastAsia="en-AU" w:bidi="ar-SA"/>
        </w:rPr>
        <w:t>a,</w:t>
      </w:r>
      <w:r w:rsidR="00E164D3">
        <w:rPr>
          <w:lang w:eastAsia="en-AU" w:bidi="ar-SA"/>
        </w:rPr>
        <w:t xml:space="preserve"> </w:t>
      </w:r>
      <w:r w:rsidRPr="006D5F9F">
        <w:rPr>
          <w:lang w:eastAsia="en-AU" w:bidi="ar-SA"/>
        </w:rPr>
        <w:t>b) with regard to kinetics, metabolism, or toxicity.</w:t>
      </w:r>
      <w:r>
        <w:rPr>
          <w:lang w:eastAsia="en-AU" w:bidi="ar-SA"/>
        </w:rPr>
        <w:t xml:space="preserve"> </w:t>
      </w:r>
      <w:r w:rsidR="003775A1">
        <w:rPr>
          <w:lang w:eastAsia="en-AU" w:bidi="ar-SA"/>
        </w:rPr>
        <w:t>In the main</w:t>
      </w:r>
      <w:r w:rsidR="0022487D">
        <w:rPr>
          <w:lang w:eastAsia="en-AU" w:bidi="ar-SA"/>
        </w:rPr>
        <w:t>,</w:t>
      </w:r>
      <w:r w:rsidR="003775A1">
        <w:rPr>
          <w:lang w:eastAsia="en-AU" w:bidi="ar-SA"/>
        </w:rPr>
        <w:t xml:space="preserve"> </w:t>
      </w:r>
      <w:r>
        <w:rPr>
          <w:lang w:eastAsia="en-AU" w:bidi="ar-SA"/>
        </w:rPr>
        <w:t xml:space="preserve"> </w:t>
      </w:r>
      <w:r w:rsidR="003775A1">
        <w:rPr>
          <w:lang w:eastAsia="en-AU" w:bidi="ar-SA"/>
        </w:rPr>
        <w:t>the reviewed studies were for</w:t>
      </w:r>
      <w:r>
        <w:rPr>
          <w:lang w:eastAsia="en-AU" w:bidi="ar-SA"/>
        </w:rPr>
        <w:t xml:space="preserve"> dietary diacylglycerol (</w:t>
      </w:r>
      <w:r w:rsidR="000F292C">
        <w:rPr>
          <w:lang w:eastAsia="en-AU" w:bidi="ar-SA"/>
        </w:rPr>
        <w:t>diglyceride</w:t>
      </w:r>
      <w:r>
        <w:rPr>
          <w:lang w:eastAsia="en-AU" w:bidi="ar-SA"/>
        </w:rPr>
        <w:t xml:space="preserve">) oil but results are applicable to INS 471. Studies specific to monoglycerides </w:t>
      </w:r>
      <w:r w:rsidR="003775A1">
        <w:rPr>
          <w:lang w:eastAsia="en-AU" w:bidi="ar-SA"/>
        </w:rPr>
        <w:t>were not considered necessary because the</w:t>
      </w:r>
      <w:r>
        <w:rPr>
          <w:lang w:eastAsia="en-AU" w:bidi="ar-SA"/>
        </w:rPr>
        <w:t xml:space="preserve"> mammalian body uses the same metabolic pathways to break down monoglycerides, diglycerides and triglycerides. </w:t>
      </w:r>
    </w:p>
    <w:p w14:paraId="27E69267" w14:textId="0E00F35C" w:rsidR="0042368D" w:rsidRDefault="0042368D" w:rsidP="0042368D">
      <w:pPr>
        <w:rPr>
          <w:lang w:eastAsia="en-AU" w:bidi="ar-SA"/>
        </w:rPr>
      </w:pPr>
    </w:p>
    <w:p w14:paraId="2E0E7929" w14:textId="58B15C30" w:rsidR="00827CC8" w:rsidRDefault="00827CC8" w:rsidP="00827CC8">
      <w:r>
        <w:t>In EFSA’s dietary exposure assessment</w:t>
      </w:r>
      <w:r w:rsidR="004F1525">
        <w:t>,</w:t>
      </w:r>
      <w:r>
        <w:t xml:space="preserve"> </w:t>
      </w:r>
      <w:r w:rsidR="00D45F3C">
        <w:t>multiple</w:t>
      </w:r>
      <w:r>
        <w:t xml:space="preserve"> scenarios </w:t>
      </w:r>
      <w:r w:rsidR="00484496">
        <w:t>were used to estimate chronic dietary exposure to mono- and diglycerides of fatty acids from foods in which the additive is permitted (EFSA</w:t>
      </w:r>
      <w:r w:rsidR="00BE0AE8">
        <w:t xml:space="preserve"> ANS Panel</w:t>
      </w:r>
      <w:r w:rsidR="00484496">
        <w:t xml:space="preserve"> 2017). The scenarios were: </w:t>
      </w:r>
      <w:r>
        <w:t>regulatory maximum level</w:t>
      </w:r>
      <w:r w:rsidR="00BB61D2">
        <w:t xml:space="preserve"> exposure assessment scenario</w:t>
      </w:r>
      <w:r w:rsidR="000A2287">
        <w:t xml:space="preserve">; refined estimated exposure, </w:t>
      </w:r>
      <w:r w:rsidR="00484496">
        <w:t xml:space="preserve">i.e. </w:t>
      </w:r>
      <w:r w:rsidR="00BB61D2">
        <w:t xml:space="preserve">brand-loyal consumer </w:t>
      </w:r>
      <w:r w:rsidR="000A2287">
        <w:t>and non-brand-</w:t>
      </w:r>
      <w:r w:rsidR="00BB61D2">
        <w:t>loyal consumer scenario</w:t>
      </w:r>
      <w:r w:rsidR="000A2287">
        <w:t>s (using only industry reported use level data</w:t>
      </w:r>
      <w:r w:rsidR="00BB61D2">
        <w:t>)</w:t>
      </w:r>
      <w:r w:rsidR="00484496">
        <w:t>;</w:t>
      </w:r>
      <w:r w:rsidR="004F1525">
        <w:t xml:space="preserve"> </w:t>
      </w:r>
      <w:r>
        <w:t>and specific exposure</w:t>
      </w:r>
      <w:r w:rsidR="004F1525">
        <w:t xml:space="preserve"> </w:t>
      </w:r>
      <w:r w:rsidR="000A2287">
        <w:t xml:space="preserve">scenarios </w:t>
      </w:r>
      <w:r w:rsidR="00432728">
        <w:t>(</w:t>
      </w:r>
      <w:r w:rsidR="002A10DD">
        <w:t xml:space="preserve">consumers of </w:t>
      </w:r>
      <w:r w:rsidR="00432728">
        <w:t>food supplement</w:t>
      </w:r>
      <w:r w:rsidR="002A10DD">
        <w:t xml:space="preserve">s or </w:t>
      </w:r>
      <w:r w:rsidR="004F1525">
        <w:t>foods for special medical purposes)</w:t>
      </w:r>
      <w:r w:rsidR="00484496">
        <w:t>.</w:t>
      </w:r>
      <w:r>
        <w:t xml:space="preserve"> When compared to recommended</w:t>
      </w:r>
      <w:r w:rsidR="004F1525">
        <w:t xml:space="preserve"> daily</w:t>
      </w:r>
      <w:r>
        <w:t xml:space="preserve"> fat </w:t>
      </w:r>
      <w:r w:rsidR="00102804">
        <w:t xml:space="preserve">intake </w:t>
      </w:r>
      <w:r>
        <w:t xml:space="preserve">(20-35% total energy), estimated </w:t>
      </w:r>
      <w:r w:rsidR="004F1525">
        <w:t xml:space="preserve">mean </w:t>
      </w:r>
      <w:r w:rsidR="00102804">
        <w:t xml:space="preserve">dietary </w:t>
      </w:r>
      <w:r>
        <w:t xml:space="preserve">exposure </w:t>
      </w:r>
      <w:r w:rsidR="00102804">
        <w:t>to the additive</w:t>
      </w:r>
      <w:r w:rsidR="007644D4">
        <w:t xml:space="preserve"> for adult populations</w:t>
      </w:r>
      <w:r w:rsidR="00102804">
        <w:t xml:space="preserve"> </w:t>
      </w:r>
      <w:r w:rsidR="000A2287">
        <w:t xml:space="preserve">using the non-brand-loyal exposure assessment scenario </w:t>
      </w:r>
      <w:r>
        <w:t xml:space="preserve">represented 0.8-3.5% of </w:t>
      </w:r>
      <w:r w:rsidR="00102804">
        <w:t xml:space="preserve">this </w:t>
      </w:r>
      <w:r>
        <w:t xml:space="preserve">recommended </w:t>
      </w:r>
      <w:r w:rsidR="00FD3764">
        <w:t>intake</w:t>
      </w:r>
      <w:r>
        <w:t xml:space="preserve"> (EFSA </w:t>
      </w:r>
      <w:r w:rsidR="00BE0AE8">
        <w:t xml:space="preserve">ANS Panel </w:t>
      </w:r>
      <w:r>
        <w:t>2017). Using a conservative deterministic approach, estimated</w:t>
      </w:r>
      <w:r w:rsidR="002A10DD">
        <w:t xml:space="preserve"> mean</w:t>
      </w:r>
      <w:r>
        <w:t xml:space="preserve"> </w:t>
      </w:r>
      <w:r w:rsidR="00102804">
        <w:t xml:space="preserve">dietary </w:t>
      </w:r>
      <w:r>
        <w:t>exposure for Australian and New Zealand populations to</w:t>
      </w:r>
      <w:r w:rsidR="00267364">
        <w:t xml:space="preserve"> mono- and diglycerides of fatty acids</w:t>
      </w:r>
      <w:r>
        <w:t xml:space="preserve"> from use a</w:t>
      </w:r>
      <w:r w:rsidR="00E32ACE">
        <w:t>s a glazing agent on surface treated</w:t>
      </w:r>
      <w:r>
        <w:t xml:space="preserve"> fruits and vegetables represents 0.6-0.8% of mean total fat </w:t>
      </w:r>
      <w:r w:rsidR="00102804">
        <w:t>intake</w:t>
      </w:r>
      <w:r>
        <w:t>, which is within normal daily variation.</w:t>
      </w:r>
    </w:p>
    <w:p w14:paraId="272A7ED9" w14:textId="504631D2" w:rsidR="001F4AC3" w:rsidRDefault="001F4AC3" w:rsidP="00827CC8"/>
    <w:p w14:paraId="2FF2274C" w14:textId="32F5B9B0" w:rsidR="001F4AC3" w:rsidRPr="00F06E43" w:rsidRDefault="001F4AC3" w:rsidP="00827CC8">
      <w:r w:rsidRPr="00F06E43">
        <w:rPr>
          <w:lang w:eastAsia="en-AU"/>
        </w:rPr>
        <w:t>The assessment also considered the potential for allergenicity due to the possible use of oils and fats derived from allergenic sources to produce the food additive. Based on the available evidence</w:t>
      </w:r>
      <w:r w:rsidR="00CC780A" w:rsidRPr="00F06E43">
        <w:rPr>
          <w:lang w:eastAsia="en-AU"/>
        </w:rPr>
        <w:t xml:space="preserve"> and taking into account</w:t>
      </w:r>
      <w:r w:rsidRPr="00F06E43">
        <w:rPr>
          <w:lang w:eastAsia="en-AU"/>
        </w:rPr>
        <w:t xml:space="preserve"> the purification processes used during production, there are unlikely to be allergenicity concerns related to use of the food additive, including extending its use as a glazing agent for fresh fruits and vegetables.</w:t>
      </w:r>
    </w:p>
    <w:p w14:paraId="6A9B315F" w14:textId="77777777" w:rsidR="00387CFD" w:rsidRDefault="00387CFD" w:rsidP="00827CC8"/>
    <w:p w14:paraId="7DFB4A2D" w14:textId="52E222B6" w:rsidR="0042368D" w:rsidRDefault="00060155" w:rsidP="0042368D">
      <w:pPr>
        <w:pStyle w:val="Heading1"/>
        <w:rPr>
          <w:lang w:eastAsia="en-AU"/>
        </w:rPr>
      </w:pPr>
      <w:bookmarkStart w:id="92" w:name="_Toc42849614"/>
      <w:bookmarkStart w:id="93" w:name="_Toc46487143"/>
      <w:bookmarkStart w:id="94" w:name="_Toc58251569"/>
      <w:r>
        <w:rPr>
          <w:lang w:eastAsia="en-AU"/>
        </w:rPr>
        <w:lastRenderedPageBreak/>
        <w:t>6</w:t>
      </w:r>
      <w:r w:rsidR="0042368D">
        <w:rPr>
          <w:lang w:eastAsia="en-AU"/>
        </w:rPr>
        <w:tab/>
        <w:t>Conclusions</w:t>
      </w:r>
      <w:bookmarkEnd w:id="92"/>
      <w:bookmarkEnd w:id="93"/>
      <w:bookmarkEnd w:id="94"/>
    </w:p>
    <w:p w14:paraId="60A7E767" w14:textId="72D6EB58" w:rsidR="00355F7C" w:rsidRDefault="00355F7C" w:rsidP="00355F7C">
      <w:r>
        <w:rPr>
          <w:lang w:eastAsia="en-AU" w:bidi="ar-SA"/>
        </w:rPr>
        <w:t xml:space="preserve">FSANZ concurs with the conclusion of JECFA (1974 a,b) that mono-and diglycerides, including those in INS 471, do not differ significantly from dietary lipids and a numerical ADI is not required. </w:t>
      </w:r>
      <w:r w:rsidR="00827CC8">
        <w:rPr>
          <w:lang w:eastAsia="en-AU" w:bidi="ar-SA"/>
        </w:rPr>
        <w:t xml:space="preserve">Estimated </w:t>
      </w:r>
      <w:r w:rsidR="007644D4">
        <w:rPr>
          <w:lang w:eastAsia="en-AU" w:bidi="ar-SA"/>
        </w:rPr>
        <w:t xml:space="preserve">mean </w:t>
      </w:r>
      <w:r w:rsidR="00102804">
        <w:rPr>
          <w:lang w:eastAsia="en-AU" w:bidi="ar-SA"/>
        </w:rPr>
        <w:t>dietary</w:t>
      </w:r>
      <w:r w:rsidR="00827CC8">
        <w:rPr>
          <w:lang w:eastAsia="en-AU" w:bidi="ar-SA"/>
        </w:rPr>
        <w:t xml:space="preserve"> exposure </w:t>
      </w:r>
      <w:r w:rsidR="00827CC8">
        <w:t xml:space="preserve">for Australian </w:t>
      </w:r>
      <w:r w:rsidR="00267364">
        <w:t>and New Zealand populations to mono- and diglycerides of fatty acids</w:t>
      </w:r>
      <w:r w:rsidR="00E03443">
        <w:t xml:space="preserve"> if used</w:t>
      </w:r>
      <w:r w:rsidR="00827CC8">
        <w:t xml:space="preserve"> a</w:t>
      </w:r>
      <w:r w:rsidR="00E32ACE">
        <w:t>s a glazing agent on surface treated</w:t>
      </w:r>
      <w:r w:rsidR="00827CC8">
        <w:t xml:space="preserve"> fruits and vegetables represents 0.6-0.8% of mean total fat </w:t>
      </w:r>
      <w:r w:rsidR="00102804">
        <w:t>intake</w:t>
      </w:r>
      <w:r w:rsidR="00827CC8">
        <w:t>, which is within normal daily variation.</w:t>
      </w:r>
    </w:p>
    <w:p w14:paraId="794A9E2E" w14:textId="77777777" w:rsidR="00387CFD" w:rsidRDefault="00387CFD" w:rsidP="00355F7C">
      <w:pPr>
        <w:rPr>
          <w:lang w:eastAsia="en-AU" w:bidi="ar-SA"/>
        </w:rPr>
      </w:pPr>
    </w:p>
    <w:p w14:paraId="35556548" w14:textId="3F83E298" w:rsidR="0042368D" w:rsidRDefault="00060155" w:rsidP="0042368D">
      <w:pPr>
        <w:pStyle w:val="Heading1"/>
        <w:rPr>
          <w:lang w:eastAsia="en-AU"/>
        </w:rPr>
      </w:pPr>
      <w:bookmarkStart w:id="95" w:name="_Toc42849615"/>
      <w:bookmarkStart w:id="96" w:name="_Toc46487144"/>
      <w:bookmarkStart w:id="97" w:name="_Toc58251570"/>
      <w:r>
        <w:rPr>
          <w:lang w:eastAsia="en-AU"/>
        </w:rPr>
        <w:t>7</w:t>
      </w:r>
      <w:r w:rsidR="0042368D">
        <w:rPr>
          <w:lang w:eastAsia="en-AU"/>
        </w:rPr>
        <w:tab/>
        <w:t>References</w:t>
      </w:r>
      <w:bookmarkEnd w:id="95"/>
      <w:bookmarkEnd w:id="96"/>
      <w:bookmarkEnd w:id="97"/>
    </w:p>
    <w:p w14:paraId="1269225D" w14:textId="634B387D" w:rsidR="00060155" w:rsidRDefault="00836D1C" w:rsidP="0014568E">
      <w:pPr>
        <w:rPr>
          <w:lang w:eastAsia="en-AU" w:bidi="ar-SA"/>
        </w:rPr>
      </w:pPr>
      <w:r w:rsidRPr="005F4FEF">
        <w:t>ABS (2015) National Nutrition and Physical Activity Survey, 2011-12, Basic CURF, CD-ROM. 2nd Edition</w:t>
      </w:r>
      <w:r>
        <w:rPr>
          <w:lang w:eastAsia="en-AU" w:bidi="ar-SA"/>
        </w:rPr>
        <w:t>.</w:t>
      </w:r>
    </w:p>
    <w:p w14:paraId="422861D9" w14:textId="77777777" w:rsidR="00836D1C" w:rsidRDefault="00836D1C" w:rsidP="0014568E">
      <w:pPr>
        <w:rPr>
          <w:lang w:eastAsia="en-AU" w:bidi="ar-SA"/>
        </w:rPr>
      </w:pPr>
    </w:p>
    <w:p w14:paraId="7A142D83" w14:textId="05D199C6" w:rsidR="008954DA" w:rsidRDefault="0014568E" w:rsidP="0014568E">
      <w:pPr>
        <w:rPr>
          <w:lang w:eastAsia="en-AU" w:bidi="ar-SA"/>
        </w:rPr>
      </w:pPr>
      <w:r>
        <w:rPr>
          <w:lang w:eastAsia="en-AU" w:bidi="ar-SA"/>
        </w:rPr>
        <w:t>Chen Y, Shou T-X, Zhang Q-Y</w:t>
      </w:r>
      <w:r w:rsidR="009114C1">
        <w:rPr>
          <w:lang w:eastAsia="en-AU" w:bidi="ar-SA"/>
        </w:rPr>
        <w:t>,</w:t>
      </w:r>
      <w:r>
        <w:rPr>
          <w:lang w:eastAsia="en-AU" w:bidi="ar-SA"/>
        </w:rPr>
        <w:t xml:space="preserve"> Li D (2013) Bioavailability of diacylglycerol microemulsion. Journal of Food Biochemistry 37: 144-150</w:t>
      </w:r>
    </w:p>
    <w:p w14:paraId="2EC765A8" w14:textId="0DBCFECC" w:rsidR="00835CC3" w:rsidRDefault="000F7930" w:rsidP="0014568E">
      <w:pPr>
        <w:rPr>
          <w:lang w:eastAsia="en-AU" w:bidi="ar-SA"/>
        </w:rPr>
      </w:pPr>
      <w:hyperlink r:id="rId26" w:history="1">
        <w:r w:rsidR="00621323" w:rsidRPr="00714980">
          <w:rPr>
            <w:rStyle w:val="Hyperlink"/>
          </w:rPr>
          <w:t>https://doi.org/10.1111/j.1745-4514.2011.00611.x</w:t>
        </w:r>
      </w:hyperlink>
      <w:r w:rsidR="00621323">
        <w:t xml:space="preserve"> </w:t>
      </w:r>
    </w:p>
    <w:p w14:paraId="73B361C5" w14:textId="4DCE3F70" w:rsidR="00A8270E" w:rsidRDefault="00A8270E" w:rsidP="0014568E">
      <w:pPr>
        <w:rPr>
          <w:lang w:eastAsia="en-AU" w:bidi="ar-SA"/>
        </w:rPr>
      </w:pPr>
    </w:p>
    <w:p w14:paraId="7C64975B" w14:textId="550156DB" w:rsidR="00A8270E" w:rsidRDefault="00A8270E" w:rsidP="0014568E">
      <w:pPr>
        <w:rPr>
          <w:lang w:eastAsia="en-AU" w:bidi="ar-SA"/>
        </w:rPr>
      </w:pPr>
      <w:r>
        <w:rPr>
          <w:lang w:eastAsia="en-AU" w:bidi="ar-SA"/>
        </w:rPr>
        <w:t>Chengelis CP, Kirkpatrick JB, Bruner RH, Freshwater L, Morita O, Tamaki Y</w:t>
      </w:r>
      <w:r w:rsidR="009114C1">
        <w:rPr>
          <w:lang w:eastAsia="en-AU" w:bidi="ar-SA"/>
        </w:rPr>
        <w:t>,</w:t>
      </w:r>
      <w:r>
        <w:rPr>
          <w:lang w:eastAsia="en-AU" w:bidi="ar-SA"/>
        </w:rPr>
        <w:t xml:space="preserve"> Suzuki H (2006a) A 24-month dietary carcinogenicity study of DAG in mice. Food and Chemical Toxicology 44: 122-137</w:t>
      </w:r>
    </w:p>
    <w:p w14:paraId="68211E0E" w14:textId="5E85CAF2" w:rsidR="00835CC3" w:rsidRDefault="000F7930" w:rsidP="0014568E">
      <w:pPr>
        <w:rPr>
          <w:lang w:eastAsia="en-AU" w:bidi="ar-SA"/>
        </w:rPr>
      </w:pPr>
      <w:hyperlink r:id="rId27" w:history="1">
        <w:r w:rsidR="00CA17FD" w:rsidRPr="00320FE6">
          <w:rPr>
            <w:rStyle w:val="Hyperlink"/>
            <w:lang w:eastAsia="en-AU" w:bidi="ar-SA"/>
          </w:rPr>
          <w:t>https://doi.org/10.1016/j.fct.2005.06.007</w:t>
        </w:r>
      </w:hyperlink>
      <w:r w:rsidR="00CA17FD">
        <w:rPr>
          <w:lang w:eastAsia="en-AU" w:bidi="ar-SA"/>
        </w:rPr>
        <w:t xml:space="preserve"> </w:t>
      </w:r>
    </w:p>
    <w:p w14:paraId="70F15379" w14:textId="673949BF" w:rsidR="00C02AC3" w:rsidRDefault="00C02AC3" w:rsidP="0014568E">
      <w:pPr>
        <w:rPr>
          <w:lang w:eastAsia="en-AU" w:bidi="ar-SA"/>
        </w:rPr>
      </w:pPr>
    </w:p>
    <w:p w14:paraId="1BCF04BF" w14:textId="70C53C44" w:rsidR="00C02AC3" w:rsidRDefault="00C02AC3" w:rsidP="0014568E">
      <w:pPr>
        <w:rPr>
          <w:lang w:eastAsia="en-AU" w:bidi="ar-SA"/>
        </w:rPr>
      </w:pPr>
      <w:r>
        <w:rPr>
          <w:lang w:eastAsia="en-AU" w:bidi="ar-SA"/>
        </w:rPr>
        <w:t>Chengelis CP, Kirkpatrick JB, Bruner RH, Freshwater L, Morita O, Tamaki Y</w:t>
      </w:r>
      <w:r w:rsidR="009114C1">
        <w:rPr>
          <w:lang w:eastAsia="en-AU" w:bidi="ar-SA"/>
        </w:rPr>
        <w:t>,</w:t>
      </w:r>
      <w:r>
        <w:rPr>
          <w:lang w:eastAsia="en-AU" w:bidi="ar-SA"/>
        </w:rPr>
        <w:t xml:space="preserve"> Suzuki H (2006b) A 24-month dietary carcinogenicity study of</w:t>
      </w:r>
      <w:r w:rsidR="009E023A">
        <w:rPr>
          <w:lang w:eastAsia="en-AU" w:bidi="ar-SA"/>
        </w:rPr>
        <w:t xml:space="preserve"> </w:t>
      </w:r>
      <w:r>
        <w:rPr>
          <w:lang w:eastAsia="en-AU" w:bidi="ar-SA"/>
        </w:rPr>
        <w:t>DAG (diacylglycerol) in rats. Food and Chemical Toxicology 44: 98-121</w:t>
      </w:r>
    </w:p>
    <w:p w14:paraId="73FDDEDE" w14:textId="318A8292" w:rsidR="00835CC3" w:rsidRDefault="000F7930" w:rsidP="0014568E">
      <w:pPr>
        <w:rPr>
          <w:lang w:eastAsia="en-AU" w:bidi="ar-SA"/>
        </w:rPr>
      </w:pPr>
      <w:hyperlink r:id="rId28" w:history="1">
        <w:r w:rsidR="00621323" w:rsidRPr="00714980">
          <w:rPr>
            <w:rStyle w:val="Hyperlink"/>
            <w:lang w:eastAsia="en-AU" w:bidi="ar-SA"/>
          </w:rPr>
          <w:t>https://doi.org/10.1016/j.fct.2005.06.006</w:t>
        </w:r>
      </w:hyperlink>
      <w:r w:rsidR="00621323">
        <w:rPr>
          <w:lang w:eastAsia="en-AU" w:bidi="ar-SA"/>
        </w:rPr>
        <w:t xml:space="preserve"> </w:t>
      </w:r>
    </w:p>
    <w:p w14:paraId="3A3E1427" w14:textId="5E981CF0" w:rsidR="000979AB" w:rsidRDefault="000979AB" w:rsidP="0014568E">
      <w:pPr>
        <w:rPr>
          <w:lang w:eastAsia="en-AU" w:bidi="ar-SA"/>
        </w:rPr>
      </w:pPr>
    </w:p>
    <w:p w14:paraId="0C9B0FFD" w14:textId="07FB4AF0" w:rsidR="000979AB" w:rsidRDefault="006B5087" w:rsidP="0014568E">
      <w:pPr>
        <w:rPr>
          <w:lang w:eastAsia="en-AU" w:bidi="ar-SA"/>
        </w:rPr>
      </w:pPr>
      <w:r>
        <w:rPr>
          <w:lang w:eastAsia="en-AU" w:bidi="ar-SA"/>
        </w:rPr>
        <w:t>Chengelis CP, Kirkpatrick JB, Marit GB, Morita O, Tamaki Y</w:t>
      </w:r>
      <w:r w:rsidR="009114C1">
        <w:rPr>
          <w:lang w:eastAsia="en-AU" w:bidi="ar-SA"/>
        </w:rPr>
        <w:t>,</w:t>
      </w:r>
      <w:r>
        <w:rPr>
          <w:lang w:eastAsia="en-AU" w:bidi="ar-SA"/>
        </w:rPr>
        <w:t xml:space="preserve"> Suzuki H (2006c) A chronic dietary toxicity study of DAG (diacylglycerol) in Beagle dogs. Food and Chemical Toxicology 44: 81-97</w:t>
      </w:r>
    </w:p>
    <w:p w14:paraId="1C269C34" w14:textId="1C30E06B" w:rsidR="00835CC3" w:rsidRDefault="000F7930" w:rsidP="0014568E">
      <w:pPr>
        <w:rPr>
          <w:lang w:eastAsia="en-AU" w:bidi="ar-SA"/>
        </w:rPr>
      </w:pPr>
      <w:hyperlink r:id="rId29" w:history="1">
        <w:r w:rsidR="00621323" w:rsidRPr="00714980">
          <w:rPr>
            <w:rStyle w:val="Hyperlink"/>
            <w:lang w:eastAsia="en-AU" w:bidi="ar-SA"/>
          </w:rPr>
          <w:t>https://doi.org/10.1016/j.fct.2005.06.005</w:t>
        </w:r>
      </w:hyperlink>
      <w:r w:rsidR="00621323">
        <w:rPr>
          <w:lang w:eastAsia="en-AU" w:bidi="ar-SA"/>
        </w:rPr>
        <w:t xml:space="preserve"> </w:t>
      </w:r>
    </w:p>
    <w:p w14:paraId="4A7A6707" w14:textId="77777777" w:rsidR="0014568E" w:rsidRDefault="0014568E" w:rsidP="0014568E">
      <w:pPr>
        <w:rPr>
          <w:lang w:eastAsia="en-AU" w:bidi="ar-SA"/>
        </w:rPr>
      </w:pPr>
    </w:p>
    <w:p w14:paraId="54CF4E29" w14:textId="7E8E1244" w:rsidR="0014568E" w:rsidRDefault="0014568E" w:rsidP="0014568E">
      <w:pPr>
        <w:rPr>
          <w:lang w:eastAsia="en-AU" w:bidi="ar-SA"/>
        </w:rPr>
      </w:pPr>
      <w:r>
        <w:rPr>
          <w:lang w:eastAsia="en-AU" w:bidi="ar-SA"/>
        </w:rPr>
        <w:t xml:space="preserve">Chile Ministry of Health </w:t>
      </w:r>
      <w:r w:rsidR="008954DA">
        <w:rPr>
          <w:lang w:eastAsia="en-AU" w:bidi="ar-SA"/>
        </w:rPr>
        <w:t>(</w:t>
      </w:r>
      <w:r>
        <w:rPr>
          <w:lang w:eastAsia="en-AU" w:bidi="ar-SA"/>
        </w:rPr>
        <w:t>1997a</w:t>
      </w:r>
      <w:r w:rsidR="008954DA">
        <w:rPr>
          <w:lang w:eastAsia="en-AU" w:bidi="ar-SA"/>
        </w:rPr>
        <w:t>)</w:t>
      </w:r>
      <w:r>
        <w:rPr>
          <w:lang w:eastAsia="en-AU" w:bidi="ar-SA"/>
        </w:rPr>
        <w:t xml:space="preserve"> Decreto 997, Titulo III, Articulo 139</w:t>
      </w:r>
      <w:r w:rsidR="00B46933">
        <w:rPr>
          <w:lang w:eastAsia="en-AU" w:bidi="ar-SA"/>
        </w:rPr>
        <w:t>.</w:t>
      </w:r>
      <w:r>
        <w:rPr>
          <w:lang w:eastAsia="en-AU" w:bidi="ar-SA"/>
        </w:rPr>
        <w:t xml:space="preserve"> </w:t>
      </w:r>
      <w:hyperlink r:id="rId30" w:anchor="1390" w:history="1">
        <w:r w:rsidR="00621323" w:rsidRPr="00714980">
          <w:rPr>
            <w:rStyle w:val="Hyperlink"/>
          </w:rPr>
          <w:t>https://www.leychile.cl/Navegar?idNorma=71271&amp;idVersion=2019-01-14#1390</w:t>
        </w:r>
      </w:hyperlink>
      <w:r w:rsidR="00621323">
        <w:rPr>
          <w:rStyle w:val="Hyperlink"/>
          <w:lang w:eastAsia="en-AU" w:bidi="ar-SA"/>
        </w:rPr>
        <w:t xml:space="preserve"> </w:t>
      </w:r>
      <w:r>
        <w:rPr>
          <w:lang w:eastAsia="en-AU" w:bidi="ar-SA"/>
        </w:rPr>
        <w:t xml:space="preserve"> Accessed June 2020 </w:t>
      </w:r>
    </w:p>
    <w:p w14:paraId="2FF653D6" w14:textId="77777777" w:rsidR="0014568E" w:rsidRDefault="0014568E" w:rsidP="0014568E">
      <w:pPr>
        <w:rPr>
          <w:lang w:eastAsia="en-AU" w:bidi="ar-SA"/>
        </w:rPr>
      </w:pPr>
    </w:p>
    <w:p w14:paraId="17FB0386" w14:textId="4A199DBB" w:rsidR="0014568E" w:rsidRDefault="0014568E" w:rsidP="0014568E">
      <w:pPr>
        <w:rPr>
          <w:lang w:eastAsia="en-AU" w:bidi="ar-SA"/>
        </w:rPr>
      </w:pPr>
      <w:r>
        <w:rPr>
          <w:lang w:eastAsia="en-AU" w:bidi="ar-SA"/>
        </w:rPr>
        <w:t xml:space="preserve">Chile Ministry of Health </w:t>
      </w:r>
      <w:r w:rsidR="008954DA">
        <w:rPr>
          <w:lang w:eastAsia="en-AU" w:bidi="ar-SA"/>
        </w:rPr>
        <w:t>(</w:t>
      </w:r>
      <w:r>
        <w:rPr>
          <w:lang w:eastAsia="en-AU" w:bidi="ar-SA"/>
        </w:rPr>
        <w:t>1997b</w:t>
      </w:r>
      <w:r w:rsidR="008954DA">
        <w:rPr>
          <w:lang w:eastAsia="en-AU" w:bidi="ar-SA"/>
        </w:rPr>
        <w:t>)</w:t>
      </w:r>
      <w:r>
        <w:rPr>
          <w:lang w:eastAsia="en-AU" w:bidi="ar-SA"/>
        </w:rPr>
        <w:t xml:space="preserve"> Decreto 997, Titulo III, Articulo 147</w:t>
      </w:r>
      <w:r w:rsidR="00B46933">
        <w:rPr>
          <w:lang w:eastAsia="en-AU" w:bidi="ar-SA"/>
        </w:rPr>
        <w:t>.</w:t>
      </w:r>
      <w:r>
        <w:rPr>
          <w:lang w:eastAsia="en-AU" w:bidi="ar-SA"/>
        </w:rPr>
        <w:t xml:space="preserve"> </w:t>
      </w:r>
      <w:hyperlink r:id="rId31" w:anchor="1470" w:history="1">
        <w:r w:rsidR="00621323" w:rsidRPr="00714980">
          <w:rPr>
            <w:rStyle w:val="Hyperlink"/>
          </w:rPr>
          <w:t>https://www.leychile.cl/Navegar?idNorma=71271&amp;idVersion=2019-01-14#1470</w:t>
        </w:r>
      </w:hyperlink>
      <w:r w:rsidR="00621323">
        <w:rPr>
          <w:rStyle w:val="Hyperlink"/>
          <w:lang w:eastAsia="en-AU" w:bidi="ar-SA"/>
        </w:rPr>
        <w:t xml:space="preserve"> </w:t>
      </w:r>
      <w:r>
        <w:rPr>
          <w:lang w:eastAsia="en-AU" w:bidi="ar-SA"/>
        </w:rPr>
        <w:t xml:space="preserve"> Accessed June 2020 </w:t>
      </w:r>
    </w:p>
    <w:p w14:paraId="13C2E9CC" w14:textId="77777777" w:rsidR="0014568E" w:rsidRDefault="0014568E" w:rsidP="0014568E">
      <w:pPr>
        <w:rPr>
          <w:lang w:eastAsia="en-AU" w:bidi="ar-SA"/>
        </w:rPr>
      </w:pPr>
    </w:p>
    <w:p w14:paraId="379000D7" w14:textId="41FC282B" w:rsidR="0014568E" w:rsidRDefault="0014568E" w:rsidP="0014568E">
      <w:pPr>
        <w:rPr>
          <w:lang w:eastAsia="en-AU" w:bidi="ar-SA"/>
        </w:rPr>
      </w:pPr>
      <w:r>
        <w:rPr>
          <w:lang w:eastAsia="en-AU" w:bidi="ar-SA"/>
        </w:rPr>
        <w:t xml:space="preserve">China National Health and Family Planning Commission (2018) Notice on </w:t>
      </w:r>
      <w:r w:rsidR="00B6219F">
        <w:rPr>
          <w:lang w:eastAsia="en-AU" w:bidi="ar-SA"/>
        </w:rPr>
        <w:t>a</w:t>
      </w:r>
      <w:r>
        <w:rPr>
          <w:lang w:eastAsia="en-AU" w:bidi="ar-SA"/>
        </w:rPr>
        <w:t xml:space="preserve">pproving a </w:t>
      </w:r>
      <w:r w:rsidR="00B6219F">
        <w:rPr>
          <w:lang w:eastAsia="en-AU" w:bidi="ar-SA"/>
        </w:rPr>
        <w:t>n</w:t>
      </w:r>
      <w:r>
        <w:rPr>
          <w:lang w:eastAsia="en-AU" w:bidi="ar-SA"/>
        </w:rPr>
        <w:t xml:space="preserve">ew </w:t>
      </w:r>
      <w:r w:rsidR="00B6219F">
        <w:rPr>
          <w:lang w:eastAsia="en-AU" w:bidi="ar-SA"/>
        </w:rPr>
        <w:t>f</w:t>
      </w:r>
      <w:r>
        <w:rPr>
          <w:lang w:eastAsia="en-AU" w:bidi="ar-SA"/>
        </w:rPr>
        <w:t xml:space="preserve">ood </w:t>
      </w:r>
      <w:r w:rsidR="00B6219F">
        <w:rPr>
          <w:lang w:eastAsia="en-AU" w:bidi="ar-SA"/>
        </w:rPr>
        <w:t>e</w:t>
      </w:r>
      <w:r>
        <w:rPr>
          <w:lang w:eastAsia="en-AU" w:bidi="ar-SA"/>
        </w:rPr>
        <w:t xml:space="preserve">nzyme of </w:t>
      </w:r>
      <w:r w:rsidR="00B6219F">
        <w:rPr>
          <w:lang w:eastAsia="en-AU" w:bidi="ar-SA"/>
        </w:rPr>
        <w:t>f</w:t>
      </w:r>
      <w:r>
        <w:rPr>
          <w:lang w:eastAsia="en-AU" w:bidi="ar-SA"/>
        </w:rPr>
        <w:t xml:space="preserve">ructosyl </w:t>
      </w:r>
      <w:r w:rsidR="00B6219F">
        <w:rPr>
          <w:lang w:eastAsia="en-AU" w:bidi="ar-SA"/>
        </w:rPr>
        <w:t>t</w:t>
      </w:r>
      <w:r>
        <w:rPr>
          <w:lang w:eastAsia="en-AU" w:bidi="ar-SA"/>
        </w:rPr>
        <w:t>ransferase (</w:t>
      </w:r>
      <w:r w:rsidR="00B6219F">
        <w:rPr>
          <w:lang w:eastAsia="en-AU" w:bidi="ar-SA"/>
        </w:rPr>
        <w:t>a</w:t>
      </w:r>
      <w:r>
        <w:rPr>
          <w:lang w:eastAsia="en-AU" w:bidi="ar-SA"/>
        </w:rPr>
        <w:t xml:space="preserve">lso </w:t>
      </w:r>
      <w:r w:rsidR="00B6219F">
        <w:rPr>
          <w:lang w:eastAsia="en-AU" w:bidi="ar-SA"/>
        </w:rPr>
        <w:t>n</w:t>
      </w:r>
      <w:r>
        <w:rPr>
          <w:lang w:eastAsia="en-AU" w:bidi="ar-SA"/>
        </w:rPr>
        <w:t xml:space="preserve">amed </w:t>
      </w:r>
      <w:r>
        <w:rPr>
          <w:rFonts w:cs="Arial"/>
          <w:lang w:eastAsia="en-AU" w:bidi="ar-SA"/>
        </w:rPr>
        <w:t>β</w:t>
      </w:r>
      <w:r>
        <w:rPr>
          <w:lang w:eastAsia="en-AU" w:bidi="ar-SA"/>
        </w:rPr>
        <w:t>-</w:t>
      </w:r>
      <w:r w:rsidR="00B6219F">
        <w:rPr>
          <w:lang w:eastAsia="en-AU" w:bidi="ar-SA"/>
        </w:rPr>
        <w:t>f</w:t>
      </w:r>
      <w:r>
        <w:rPr>
          <w:lang w:eastAsia="en-AU" w:bidi="ar-SA"/>
        </w:rPr>
        <w:t xml:space="preserve">ructose </w:t>
      </w:r>
      <w:r w:rsidR="00B6219F">
        <w:rPr>
          <w:lang w:eastAsia="en-AU" w:bidi="ar-SA"/>
        </w:rPr>
        <w:t>t</w:t>
      </w:r>
      <w:r>
        <w:rPr>
          <w:lang w:eastAsia="en-AU" w:bidi="ar-SA"/>
        </w:rPr>
        <w:t xml:space="preserve">ransferase) and </w:t>
      </w:r>
      <w:r w:rsidR="00B6219F">
        <w:rPr>
          <w:lang w:eastAsia="en-AU" w:bidi="ar-SA"/>
        </w:rPr>
        <w:t>e</w:t>
      </w:r>
      <w:r>
        <w:rPr>
          <w:lang w:eastAsia="en-AU" w:bidi="ar-SA"/>
        </w:rPr>
        <w:t xml:space="preserve">xpanding the </w:t>
      </w:r>
      <w:r w:rsidR="00B6219F">
        <w:rPr>
          <w:lang w:eastAsia="en-AU" w:bidi="ar-SA"/>
        </w:rPr>
        <w:t>a</w:t>
      </w:r>
      <w:r>
        <w:rPr>
          <w:lang w:eastAsia="en-AU" w:bidi="ar-SA"/>
        </w:rPr>
        <w:t xml:space="preserve">pplication </w:t>
      </w:r>
      <w:r w:rsidR="00B6219F">
        <w:rPr>
          <w:lang w:eastAsia="en-AU" w:bidi="ar-SA"/>
        </w:rPr>
        <w:t>s</w:t>
      </w:r>
      <w:r>
        <w:rPr>
          <w:lang w:eastAsia="en-AU" w:bidi="ar-SA"/>
        </w:rPr>
        <w:t xml:space="preserve">cope of </w:t>
      </w:r>
      <w:r w:rsidR="00B6219F">
        <w:rPr>
          <w:lang w:eastAsia="en-AU" w:bidi="ar-SA"/>
        </w:rPr>
        <w:t>s</w:t>
      </w:r>
      <w:r>
        <w:rPr>
          <w:lang w:eastAsia="en-AU" w:bidi="ar-SA"/>
        </w:rPr>
        <w:t xml:space="preserve">even </w:t>
      </w:r>
      <w:r w:rsidR="00B6219F">
        <w:rPr>
          <w:lang w:eastAsia="en-AU" w:bidi="ar-SA"/>
        </w:rPr>
        <w:t>f</w:t>
      </w:r>
      <w:r>
        <w:rPr>
          <w:lang w:eastAsia="en-AU" w:bidi="ar-SA"/>
        </w:rPr>
        <w:t xml:space="preserve">ood </w:t>
      </w:r>
      <w:r w:rsidR="00B6219F">
        <w:rPr>
          <w:lang w:eastAsia="en-AU" w:bidi="ar-SA"/>
        </w:rPr>
        <w:t>a</w:t>
      </w:r>
      <w:r>
        <w:rPr>
          <w:lang w:eastAsia="en-AU" w:bidi="ar-SA"/>
        </w:rPr>
        <w:t xml:space="preserve">dditives including </w:t>
      </w:r>
      <w:r w:rsidR="00B6219F">
        <w:rPr>
          <w:lang w:eastAsia="en-AU" w:bidi="ar-SA"/>
        </w:rPr>
        <w:t>m</w:t>
      </w:r>
      <w:r>
        <w:rPr>
          <w:lang w:eastAsia="en-AU" w:bidi="ar-SA"/>
        </w:rPr>
        <w:t xml:space="preserve">ono- and </w:t>
      </w:r>
      <w:r w:rsidR="00B6219F">
        <w:rPr>
          <w:lang w:eastAsia="en-AU" w:bidi="ar-SA"/>
        </w:rPr>
        <w:t>d</w:t>
      </w:r>
      <w:r>
        <w:rPr>
          <w:lang w:eastAsia="en-AU" w:bidi="ar-SA"/>
        </w:rPr>
        <w:t xml:space="preserve">iglycerides of </w:t>
      </w:r>
      <w:r w:rsidR="00B6219F">
        <w:rPr>
          <w:lang w:eastAsia="en-AU" w:bidi="ar-SA"/>
        </w:rPr>
        <w:t>f</w:t>
      </w:r>
      <w:r>
        <w:rPr>
          <w:lang w:eastAsia="en-AU" w:bidi="ar-SA"/>
        </w:rPr>
        <w:t xml:space="preserve">atty </w:t>
      </w:r>
      <w:r w:rsidR="00B6219F">
        <w:rPr>
          <w:lang w:eastAsia="en-AU" w:bidi="ar-SA"/>
        </w:rPr>
        <w:t>a</w:t>
      </w:r>
      <w:r>
        <w:rPr>
          <w:lang w:eastAsia="en-AU" w:bidi="ar-SA"/>
        </w:rPr>
        <w:t>cids (NHFPC Notice 2018#2)</w:t>
      </w:r>
    </w:p>
    <w:p w14:paraId="2A7D07C2" w14:textId="77777777" w:rsidR="0014568E" w:rsidRDefault="0014568E" w:rsidP="0014568E">
      <w:pPr>
        <w:rPr>
          <w:lang w:eastAsia="en-AU" w:bidi="ar-SA"/>
        </w:rPr>
      </w:pPr>
    </w:p>
    <w:p w14:paraId="199F542D" w14:textId="531D3419" w:rsidR="0014568E" w:rsidRDefault="0014568E" w:rsidP="0014568E">
      <w:pPr>
        <w:rPr>
          <w:lang w:eastAsia="en-AU" w:bidi="ar-SA"/>
        </w:rPr>
      </w:pPr>
      <w:r>
        <w:rPr>
          <w:lang w:eastAsia="en-AU" w:bidi="ar-SA"/>
        </w:rPr>
        <w:t xml:space="preserve">Codex Alimentarius Commission </w:t>
      </w:r>
      <w:r w:rsidR="008954DA">
        <w:rPr>
          <w:lang w:eastAsia="en-AU" w:bidi="ar-SA"/>
        </w:rPr>
        <w:t>(</w:t>
      </w:r>
      <w:r>
        <w:rPr>
          <w:lang w:eastAsia="en-AU" w:bidi="ar-SA"/>
        </w:rPr>
        <w:t>2019</w:t>
      </w:r>
      <w:r w:rsidR="008954DA">
        <w:rPr>
          <w:lang w:eastAsia="en-AU" w:bidi="ar-SA"/>
        </w:rPr>
        <w:t>)</w:t>
      </w:r>
      <w:r>
        <w:rPr>
          <w:lang w:eastAsia="en-AU" w:bidi="ar-SA"/>
        </w:rPr>
        <w:t xml:space="preserve"> Mono- and </w:t>
      </w:r>
      <w:r w:rsidR="00B6219F">
        <w:rPr>
          <w:lang w:eastAsia="en-AU" w:bidi="ar-SA"/>
        </w:rPr>
        <w:t>d</w:t>
      </w:r>
      <w:r>
        <w:rPr>
          <w:lang w:eastAsia="en-AU" w:bidi="ar-SA"/>
        </w:rPr>
        <w:t>i-</w:t>
      </w:r>
      <w:r w:rsidR="00B6219F">
        <w:rPr>
          <w:lang w:eastAsia="en-AU" w:bidi="ar-SA"/>
        </w:rPr>
        <w:t>g</w:t>
      </w:r>
      <w:r>
        <w:rPr>
          <w:lang w:eastAsia="en-AU" w:bidi="ar-SA"/>
        </w:rPr>
        <w:t xml:space="preserve">lycerides of </w:t>
      </w:r>
      <w:r w:rsidR="00B6219F">
        <w:rPr>
          <w:lang w:eastAsia="en-AU" w:bidi="ar-SA"/>
        </w:rPr>
        <w:t>f</w:t>
      </w:r>
      <w:r>
        <w:rPr>
          <w:lang w:eastAsia="en-AU" w:bidi="ar-SA"/>
        </w:rPr>
        <w:t xml:space="preserve">atty </w:t>
      </w:r>
      <w:r w:rsidR="00B6219F">
        <w:rPr>
          <w:lang w:eastAsia="en-AU" w:bidi="ar-SA"/>
        </w:rPr>
        <w:t>a</w:t>
      </w:r>
      <w:r>
        <w:rPr>
          <w:lang w:eastAsia="en-AU" w:bidi="ar-SA"/>
        </w:rPr>
        <w:t>cids (INS 471)</w:t>
      </w:r>
      <w:r w:rsidR="00B6219F">
        <w:rPr>
          <w:lang w:eastAsia="en-AU" w:bidi="ar-SA"/>
        </w:rPr>
        <w:t>,</w:t>
      </w:r>
      <w:r>
        <w:rPr>
          <w:lang w:eastAsia="en-AU" w:bidi="ar-SA"/>
        </w:rPr>
        <w:t xml:space="preserve"> In: </w:t>
      </w:r>
      <w:r w:rsidR="00B6219F">
        <w:rPr>
          <w:lang w:eastAsia="en-AU" w:bidi="ar-SA"/>
        </w:rPr>
        <w:t>G</w:t>
      </w:r>
      <w:r>
        <w:rPr>
          <w:lang w:eastAsia="en-AU" w:bidi="ar-SA"/>
        </w:rPr>
        <w:t xml:space="preserve">eneral </w:t>
      </w:r>
      <w:r w:rsidR="00B6219F">
        <w:rPr>
          <w:lang w:eastAsia="en-AU" w:bidi="ar-SA"/>
        </w:rPr>
        <w:t>s</w:t>
      </w:r>
      <w:r>
        <w:rPr>
          <w:lang w:eastAsia="en-AU" w:bidi="ar-SA"/>
        </w:rPr>
        <w:t xml:space="preserve">tandard for </w:t>
      </w:r>
      <w:r w:rsidR="00B6219F">
        <w:rPr>
          <w:lang w:eastAsia="en-AU" w:bidi="ar-SA"/>
        </w:rPr>
        <w:t>f</w:t>
      </w:r>
      <w:r>
        <w:rPr>
          <w:lang w:eastAsia="en-AU" w:bidi="ar-SA"/>
        </w:rPr>
        <w:t xml:space="preserve">ood </w:t>
      </w:r>
      <w:r w:rsidR="00B6219F">
        <w:rPr>
          <w:lang w:eastAsia="en-AU" w:bidi="ar-SA"/>
        </w:rPr>
        <w:t>a</w:t>
      </w:r>
      <w:r>
        <w:rPr>
          <w:lang w:eastAsia="en-AU" w:bidi="ar-SA"/>
        </w:rPr>
        <w:t>dditives, CODEX-STAN 192-1995, p</w:t>
      </w:r>
      <w:r w:rsidR="00B6219F">
        <w:rPr>
          <w:lang w:eastAsia="en-AU" w:bidi="ar-SA"/>
        </w:rPr>
        <w:t>.</w:t>
      </w:r>
      <w:r>
        <w:rPr>
          <w:lang w:eastAsia="en-AU" w:bidi="ar-SA"/>
        </w:rPr>
        <w:t xml:space="preserve"> 172, 478</w:t>
      </w:r>
    </w:p>
    <w:p w14:paraId="57E78319" w14:textId="173F4DF4" w:rsidR="00947813" w:rsidRDefault="000F7930" w:rsidP="0014568E">
      <w:pPr>
        <w:rPr>
          <w:lang w:eastAsia="en-AU" w:bidi="ar-SA"/>
        </w:rPr>
      </w:pPr>
      <w:hyperlink r:id="rId32" w:history="1">
        <w:r w:rsidR="00621323" w:rsidRPr="00714980">
          <w:rPr>
            <w:rStyle w:val="Hyperlink"/>
            <w:lang w:eastAsia="en-AU" w:bidi="ar-SA"/>
          </w:rPr>
          <w:t>http://www.fao.org/gsfaonline/docs/CXS_192e.pdf</w:t>
        </w:r>
      </w:hyperlink>
      <w:r w:rsidR="00621323">
        <w:rPr>
          <w:lang w:eastAsia="en-AU" w:bidi="ar-SA"/>
        </w:rPr>
        <w:t xml:space="preserve"> </w:t>
      </w:r>
    </w:p>
    <w:p w14:paraId="106D0CC1" w14:textId="77777777" w:rsidR="0014568E" w:rsidRDefault="0014568E" w:rsidP="0014568E">
      <w:pPr>
        <w:rPr>
          <w:lang w:eastAsia="en-AU" w:bidi="ar-SA"/>
        </w:rPr>
      </w:pPr>
    </w:p>
    <w:p w14:paraId="428F09C0" w14:textId="7C43D158" w:rsidR="0014568E" w:rsidRDefault="0014568E" w:rsidP="0014568E">
      <w:pPr>
        <w:rPr>
          <w:lang w:eastAsia="en-AU" w:bidi="ar-SA"/>
        </w:rPr>
      </w:pPr>
      <w:r>
        <w:rPr>
          <w:lang w:eastAsia="en-AU" w:bidi="ar-SA"/>
        </w:rPr>
        <w:t xml:space="preserve">COFEPRIS </w:t>
      </w:r>
      <w:r w:rsidR="00B6219F">
        <w:rPr>
          <w:lang w:eastAsia="en-AU" w:bidi="ar-SA"/>
        </w:rPr>
        <w:t>(</w:t>
      </w:r>
      <w:r>
        <w:rPr>
          <w:lang w:eastAsia="en-AU" w:bidi="ar-SA"/>
        </w:rPr>
        <w:t>2018</w:t>
      </w:r>
      <w:r w:rsidR="00B6219F">
        <w:rPr>
          <w:lang w:eastAsia="en-AU" w:bidi="ar-SA"/>
        </w:rPr>
        <w:t>)</w:t>
      </w:r>
      <w:r>
        <w:rPr>
          <w:lang w:eastAsia="en-AU" w:bidi="ar-SA"/>
        </w:rPr>
        <w:t xml:space="preserve"> Additives Agreement Annex II, Additives with various functional classes that may be used in accordance with GMP</w:t>
      </w:r>
      <w:r w:rsidR="009114C1">
        <w:rPr>
          <w:lang w:eastAsia="en-AU" w:bidi="ar-SA"/>
        </w:rPr>
        <w:t>.</w:t>
      </w:r>
    </w:p>
    <w:p w14:paraId="0475E917" w14:textId="52CB8D43" w:rsidR="0014568E" w:rsidRDefault="0014568E" w:rsidP="0014568E">
      <w:pPr>
        <w:rPr>
          <w:lang w:eastAsia="en-AU" w:bidi="ar-SA"/>
        </w:rPr>
      </w:pPr>
    </w:p>
    <w:p w14:paraId="53966FE4" w14:textId="50C31048" w:rsidR="00B46933" w:rsidRDefault="00493B7C" w:rsidP="0014568E">
      <w:pPr>
        <w:rPr>
          <w:lang w:eastAsia="en-AU" w:bidi="ar-SA"/>
        </w:rPr>
      </w:pPr>
      <w:r>
        <w:rPr>
          <w:lang w:eastAsia="en-AU" w:bidi="ar-SA"/>
        </w:rPr>
        <w:t xml:space="preserve">Commission Regulation (EU) </w:t>
      </w:r>
      <w:r w:rsidR="00B6219F">
        <w:rPr>
          <w:lang w:eastAsia="en-AU" w:bidi="ar-SA"/>
        </w:rPr>
        <w:t>(</w:t>
      </w:r>
      <w:r>
        <w:rPr>
          <w:lang w:eastAsia="en-AU" w:bidi="ar-SA"/>
        </w:rPr>
        <w:t>2012</w:t>
      </w:r>
      <w:r w:rsidR="00B6219F">
        <w:rPr>
          <w:lang w:eastAsia="en-AU" w:bidi="ar-SA"/>
        </w:rPr>
        <w:t>)</w:t>
      </w:r>
      <w:r>
        <w:rPr>
          <w:lang w:eastAsia="en-AU" w:bidi="ar-SA"/>
        </w:rPr>
        <w:t xml:space="preserve"> No 231/2012 of 9 March 2012 laying down specifications for food additives listed in Annexes II and III to Regulation (EC) No 1333/2008 of the European Parliament and of the Council</w:t>
      </w:r>
      <w:r w:rsidR="00B46933">
        <w:rPr>
          <w:lang w:eastAsia="en-AU" w:bidi="ar-SA"/>
        </w:rPr>
        <w:t>.</w:t>
      </w:r>
    </w:p>
    <w:p w14:paraId="65F7372D" w14:textId="589F0AB9" w:rsidR="00493B7C" w:rsidRDefault="000F7930" w:rsidP="0014568E">
      <w:pPr>
        <w:rPr>
          <w:lang w:eastAsia="en-AU" w:bidi="ar-SA"/>
        </w:rPr>
      </w:pPr>
      <w:hyperlink r:id="rId33" w:history="1">
        <w:r w:rsidR="00621323" w:rsidRPr="00714980">
          <w:rPr>
            <w:rStyle w:val="Hyperlink"/>
          </w:rPr>
          <w:t>https://eur-lex.europa.eu/legal-content/EN/TXT/PDF/?uri=CELEX:32012R0231&amp;qid=1422407801408&amp;from=EN</w:t>
        </w:r>
      </w:hyperlink>
      <w:r w:rsidR="00621323">
        <w:rPr>
          <w:rStyle w:val="Hyperlink"/>
          <w:lang w:eastAsia="en-AU" w:bidi="ar-SA"/>
        </w:rPr>
        <w:t xml:space="preserve"> </w:t>
      </w:r>
      <w:r w:rsidR="00493B7C">
        <w:rPr>
          <w:lang w:eastAsia="en-AU" w:bidi="ar-SA"/>
        </w:rPr>
        <w:t xml:space="preserve"> Accessed June 2020</w:t>
      </w:r>
      <w:r w:rsidR="00621323">
        <w:rPr>
          <w:lang w:eastAsia="en-AU" w:bidi="ar-SA"/>
        </w:rPr>
        <w:t xml:space="preserve"> </w:t>
      </w:r>
      <w:r w:rsidR="00493B7C">
        <w:rPr>
          <w:lang w:eastAsia="en-AU" w:bidi="ar-SA"/>
        </w:rPr>
        <w:t xml:space="preserve"> </w:t>
      </w:r>
    </w:p>
    <w:p w14:paraId="3AF03225" w14:textId="77777777" w:rsidR="00493B7C" w:rsidRDefault="00493B7C" w:rsidP="0014568E">
      <w:pPr>
        <w:rPr>
          <w:lang w:eastAsia="en-AU" w:bidi="ar-SA"/>
        </w:rPr>
      </w:pPr>
    </w:p>
    <w:p w14:paraId="3A7BBEC5" w14:textId="4D3E2A33" w:rsidR="0014568E" w:rsidRDefault="0014568E" w:rsidP="0014568E">
      <w:pPr>
        <w:rPr>
          <w:lang w:eastAsia="en-AU" w:bidi="ar-SA"/>
        </w:rPr>
      </w:pPr>
      <w:r>
        <w:rPr>
          <w:lang w:eastAsia="en-AU" w:bidi="ar-SA"/>
        </w:rPr>
        <w:t xml:space="preserve">DIGESA (1998) Supreme </w:t>
      </w:r>
      <w:r w:rsidR="000F292C">
        <w:rPr>
          <w:lang w:eastAsia="en-AU" w:bidi="ar-SA"/>
        </w:rPr>
        <w:t>Decree</w:t>
      </w:r>
      <w:r>
        <w:rPr>
          <w:lang w:eastAsia="en-AU" w:bidi="ar-SA"/>
        </w:rPr>
        <w:t xml:space="preserve"> No. 007-98-SA, Chapter VII, Article 63 Permitted Additives</w:t>
      </w:r>
      <w:r w:rsidR="009114C1">
        <w:rPr>
          <w:lang w:eastAsia="en-AU" w:bidi="ar-SA"/>
        </w:rPr>
        <w:t>.</w:t>
      </w:r>
    </w:p>
    <w:p w14:paraId="385253DF" w14:textId="77777777" w:rsidR="0014568E" w:rsidRDefault="0014568E" w:rsidP="0014568E">
      <w:pPr>
        <w:rPr>
          <w:lang w:eastAsia="en-AU" w:bidi="ar-SA"/>
        </w:rPr>
      </w:pPr>
    </w:p>
    <w:p w14:paraId="496876B7" w14:textId="6377CEC6" w:rsidR="0014568E" w:rsidRDefault="0014568E" w:rsidP="0014568E">
      <w:pPr>
        <w:rPr>
          <w:lang w:eastAsia="en-AU" w:bidi="ar-SA"/>
        </w:rPr>
      </w:pPr>
      <w:r>
        <w:rPr>
          <w:lang w:eastAsia="en-AU" w:bidi="ar-SA"/>
        </w:rPr>
        <w:t xml:space="preserve">EFSA </w:t>
      </w:r>
      <w:r w:rsidR="001F539D">
        <w:rPr>
          <w:lang w:eastAsia="en-AU" w:bidi="ar-SA"/>
        </w:rPr>
        <w:t xml:space="preserve">ANS Panel (EFSA Panel on Food Additives and </w:t>
      </w:r>
      <w:r w:rsidR="00C52810">
        <w:rPr>
          <w:lang w:eastAsia="en-AU" w:bidi="ar-SA"/>
        </w:rPr>
        <w:t xml:space="preserve">Nutrient Sources added to Food), </w:t>
      </w:r>
      <w:r w:rsidR="00C52810" w:rsidRPr="00C52810">
        <w:rPr>
          <w:rFonts w:cs="Arial"/>
          <w:szCs w:val="22"/>
        </w:rPr>
        <w:t>Younes M, Aggett P, Aguilar F, Crebelli R, Dusemund B, Filipi</w:t>
      </w:r>
      <w:r w:rsidR="00C24BE8">
        <w:rPr>
          <w:rFonts w:cs="Arial"/>
          <w:szCs w:val="22"/>
        </w:rPr>
        <w:t>č</w:t>
      </w:r>
      <w:r w:rsidR="00C52810" w:rsidRPr="00C52810">
        <w:rPr>
          <w:rFonts w:cs="Arial"/>
          <w:szCs w:val="22"/>
        </w:rPr>
        <w:t xml:space="preserve"> M, Frutos MJ, Galtier P, Gott D,Gundert-Remy U, Kuhnle GG, Leblanc J-C, Lillegaard IT, Moldeus P, Mortensen A, Oskarsson A,Stankovic I, Waalkens-Berendsen I, Woutersen RA, Wri</w:t>
      </w:r>
      <w:r w:rsidR="00C24BE8">
        <w:rPr>
          <w:rFonts w:cs="Arial"/>
          <w:szCs w:val="22"/>
        </w:rPr>
        <w:t>ght M, Boon P, Chrysafidis D, Gü</w:t>
      </w:r>
      <w:r w:rsidR="00C52810" w:rsidRPr="00C52810">
        <w:rPr>
          <w:rFonts w:cs="Arial"/>
          <w:szCs w:val="22"/>
        </w:rPr>
        <w:t>rtler R,</w:t>
      </w:r>
      <w:r w:rsidR="00C52810">
        <w:rPr>
          <w:rFonts w:cs="Arial"/>
          <w:szCs w:val="22"/>
        </w:rPr>
        <w:t xml:space="preserve"> </w:t>
      </w:r>
      <w:r w:rsidR="00C52810" w:rsidRPr="00C52810">
        <w:rPr>
          <w:rFonts w:cs="Arial"/>
          <w:szCs w:val="22"/>
        </w:rPr>
        <w:t>Mosesso P, Tobba</w:t>
      </w:r>
      <w:r w:rsidR="00C52810">
        <w:rPr>
          <w:rFonts w:cs="Arial"/>
          <w:szCs w:val="22"/>
        </w:rPr>
        <w:t xml:space="preserve">ck P, Rincon AM, Horvath Z, </w:t>
      </w:r>
      <w:r w:rsidR="00C24BE8">
        <w:rPr>
          <w:rFonts w:cs="Arial"/>
          <w:szCs w:val="22"/>
        </w:rPr>
        <w:t>Lambré</w:t>
      </w:r>
      <w:r w:rsidR="00C52810" w:rsidRPr="00C52810">
        <w:rPr>
          <w:rFonts w:cs="Arial"/>
          <w:szCs w:val="22"/>
        </w:rPr>
        <w:t xml:space="preserve"> C</w:t>
      </w:r>
      <w:r w:rsidR="00C52810">
        <w:rPr>
          <w:lang w:eastAsia="en-AU" w:bidi="ar-SA"/>
        </w:rPr>
        <w:t xml:space="preserve"> </w:t>
      </w:r>
      <w:r>
        <w:rPr>
          <w:lang w:eastAsia="en-AU" w:bidi="ar-SA"/>
        </w:rPr>
        <w:t xml:space="preserve">(2017) </w:t>
      </w:r>
      <w:r w:rsidR="001F539D">
        <w:rPr>
          <w:lang w:eastAsia="en-AU" w:bidi="ar-SA"/>
        </w:rPr>
        <w:t>Scientific opinion on the r</w:t>
      </w:r>
      <w:r>
        <w:rPr>
          <w:lang w:eastAsia="en-AU" w:bidi="ar-SA"/>
        </w:rPr>
        <w:t xml:space="preserve">e-evaluation of mono- and diglycerides of fatty acids (E 471) as food additives. EFSA Journal </w:t>
      </w:r>
      <w:r w:rsidR="00B46933">
        <w:rPr>
          <w:lang w:eastAsia="en-AU" w:bidi="ar-SA"/>
        </w:rPr>
        <w:t>15</w:t>
      </w:r>
      <w:r>
        <w:rPr>
          <w:lang w:eastAsia="en-AU" w:bidi="ar-SA"/>
        </w:rPr>
        <w:t>(11) 5045</w:t>
      </w:r>
    </w:p>
    <w:p w14:paraId="7608270B" w14:textId="2C47B273" w:rsidR="00835CC3" w:rsidRDefault="000F7930" w:rsidP="0014568E">
      <w:pPr>
        <w:rPr>
          <w:lang w:eastAsia="en-AU" w:bidi="ar-SA"/>
        </w:rPr>
      </w:pPr>
      <w:hyperlink r:id="rId34" w:history="1">
        <w:r w:rsidR="00621323" w:rsidRPr="00714980">
          <w:rPr>
            <w:rStyle w:val="Hyperlink"/>
            <w:lang w:eastAsia="en-AU" w:bidi="ar-SA"/>
          </w:rPr>
          <w:t>https://efsa.onlinelibrary.wiley.com/doi/pdf/10.2903/j.efsa.2017.5045</w:t>
        </w:r>
      </w:hyperlink>
      <w:r w:rsidR="00621323">
        <w:rPr>
          <w:lang w:eastAsia="en-AU" w:bidi="ar-SA"/>
        </w:rPr>
        <w:t xml:space="preserve"> </w:t>
      </w:r>
    </w:p>
    <w:p w14:paraId="479F291D" w14:textId="77777777" w:rsidR="0014568E" w:rsidRDefault="0014568E" w:rsidP="0014568E">
      <w:pPr>
        <w:rPr>
          <w:lang w:eastAsia="en-AU" w:bidi="ar-SA"/>
        </w:rPr>
      </w:pPr>
    </w:p>
    <w:p w14:paraId="286112A3" w14:textId="42F54F6D" w:rsidR="00B46933" w:rsidRDefault="0014568E" w:rsidP="0014568E">
      <w:pPr>
        <w:rPr>
          <w:lang w:eastAsia="en-AU" w:bidi="ar-SA"/>
        </w:rPr>
      </w:pPr>
      <w:r>
        <w:rPr>
          <w:lang w:eastAsia="en-AU" w:bidi="ar-SA"/>
        </w:rPr>
        <w:t xml:space="preserve">European Commission </w:t>
      </w:r>
      <w:r w:rsidR="00B46933">
        <w:rPr>
          <w:lang w:eastAsia="en-AU" w:bidi="ar-SA"/>
        </w:rPr>
        <w:t>(</w:t>
      </w:r>
      <w:r>
        <w:rPr>
          <w:lang w:eastAsia="en-AU" w:bidi="ar-SA"/>
        </w:rPr>
        <w:t>2019</w:t>
      </w:r>
      <w:r w:rsidR="00B46933">
        <w:rPr>
          <w:lang w:eastAsia="en-AU" w:bidi="ar-SA"/>
        </w:rPr>
        <w:t>)</w:t>
      </w:r>
      <w:r>
        <w:rPr>
          <w:lang w:eastAsia="en-AU" w:bidi="ar-SA"/>
        </w:rPr>
        <w:t xml:space="preserve"> Commission Regulation 2019/801 of 17 May 2019 amending Annex II to Regulation (EC) No 1333/2008 of the European Parliament and of the Council as regards the use of mono- and diglycerides of fatty acids (E 471) on certain fruits.</w:t>
      </w:r>
    </w:p>
    <w:p w14:paraId="3FF9272F" w14:textId="7C6D9A4A" w:rsidR="0014568E" w:rsidRDefault="000F7930" w:rsidP="0014568E">
      <w:pPr>
        <w:rPr>
          <w:lang w:eastAsia="en-AU" w:bidi="ar-SA"/>
        </w:rPr>
      </w:pPr>
      <w:hyperlink r:id="rId35" w:history="1">
        <w:r w:rsidR="00621323" w:rsidRPr="00714980">
          <w:rPr>
            <w:rStyle w:val="Hyperlink"/>
          </w:rPr>
          <w:t>https://eur-lex.europa.eu/eli/reg/2019/801/oj</w:t>
        </w:r>
      </w:hyperlink>
      <w:r w:rsidR="00621323">
        <w:t xml:space="preserve"> </w:t>
      </w:r>
      <w:r w:rsidR="00B46933" w:rsidRPr="00050B6C">
        <w:rPr>
          <w:rStyle w:val="Hyperlink"/>
          <w:color w:val="auto"/>
          <w:u w:val="none"/>
          <w:lang w:eastAsia="en-AU" w:bidi="ar-SA"/>
        </w:rPr>
        <w:t>.</w:t>
      </w:r>
      <w:r w:rsidR="0014568E">
        <w:rPr>
          <w:lang w:eastAsia="en-AU" w:bidi="ar-SA"/>
        </w:rPr>
        <w:t xml:space="preserve"> Accessed June 2020</w:t>
      </w:r>
    </w:p>
    <w:p w14:paraId="54611442" w14:textId="5458D0B3" w:rsidR="0014568E" w:rsidRDefault="0014568E" w:rsidP="0014568E">
      <w:pPr>
        <w:rPr>
          <w:lang w:eastAsia="en-AU" w:bidi="ar-SA"/>
        </w:rPr>
      </w:pPr>
    </w:p>
    <w:p w14:paraId="74581A53" w14:textId="5A099A1A" w:rsidR="005F2819" w:rsidRDefault="005F2819" w:rsidP="005F2819">
      <w:r w:rsidRPr="00351228">
        <w:t>EFEMA</w:t>
      </w:r>
      <w:r w:rsidR="00B46933">
        <w:t xml:space="preserve"> (</w:t>
      </w:r>
      <w:r w:rsidRPr="00351228">
        <w:t>2015</w:t>
      </w:r>
      <w:r w:rsidR="00B46933">
        <w:t>)</w:t>
      </w:r>
      <w:r w:rsidR="00D92DCA" w:rsidRPr="00351228">
        <w:t xml:space="preserve"> European Food Emulsifiers Manufacturers Association, </w:t>
      </w:r>
      <w:r w:rsidR="00351228" w:rsidRPr="00351228">
        <w:t>Index of food emulsifiers, Brussels, Belgium.</w:t>
      </w:r>
    </w:p>
    <w:p w14:paraId="7035D575" w14:textId="48EB145D" w:rsidR="00827CC8" w:rsidRDefault="00827CC8" w:rsidP="005F2819"/>
    <w:p w14:paraId="7D790036" w14:textId="712C3774" w:rsidR="00827CC8" w:rsidRDefault="00827CC8" w:rsidP="005F2819">
      <w:bookmarkStart w:id="98" w:name="_CTVL001c86f48bcb3dc4afe9de8e21c35d236ef"/>
      <w:r>
        <w:t xml:space="preserve">FSANZ (2009) </w:t>
      </w:r>
      <w:bookmarkEnd w:id="98"/>
      <w:r w:rsidRPr="005F4FEF">
        <w:t>Principles and practices of dietary exposure assessment for food regulatory purposes</w:t>
      </w:r>
      <w:r w:rsidR="00B46933">
        <w:t>.</w:t>
      </w:r>
      <w:r w:rsidRPr="0036194A">
        <w:t xml:space="preserve"> </w:t>
      </w:r>
      <w:r w:rsidR="00B46933">
        <w:t>F</w:t>
      </w:r>
      <w:r w:rsidR="00F17C8F">
        <w:t xml:space="preserve">ood </w:t>
      </w:r>
      <w:r w:rsidR="00B46933">
        <w:t>S</w:t>
      </w:r>
      <w:r w:rsidR="00F17C8F">
        <w:t xml:space="preserve">tandards </w:t>
      </w:r>
      <w:r w:rsidR="00B46933">
        <w:t>A</w:t>
      </w:r>
      <w:r w:rsidR="00F17C8F">
        <w:t xml:space="preserve">ustralia </w:t>
      </w:r>
      <w:r w:rsidR="00B46933">
        <w:t>N</w:t>
      </w:r>
      <w:r w:rsidR="00F17C8F">
        <w:t xml:space="preserve">ew </w:t>
      </w:r>
      <w:r w:rsidR="00B46933">
        <w:t>Z</w:t>
      </w:r>
      <w:r w:rsidR="00F17C8F">
        <w:t>ealand</w:t>
      </w:r>
      <w:r w:rsidR="00B46933">
        <w:t xml:space="preserve">, </w:t>
      </w:r>
      <w:r w:rsidRPr="0036194A">
        <w:t>Canberra.</w:t>
      </w:r>
    </w:p>
    <w:p w14:paraId="426C9A41" w14:textId="15861753" w:rsidR="00F17C8F" w:rsidRPr="003A01FB" w:rsidRDefault="000F7930" w:rsidP="005F2819">
      <w:hyperlink r:id="rId36" w:history="1">
        <w:r w:rsidR="00621323" w:rsidRPr="00714980">
          <w:rPr>
            <w:rStyle w:val="Hyperlink"/>
          </w:rPr>
          <w:t>http://www.foodstandards.gov.au/science/exposure/documents/Principles%20_%20practices%20exposure%20assessment%202009.pdf</w:t>
        </w:r>
      </w:hyperlink>
      <w:r w:rsidR="00621323">
        <w:t xml:space="preserve"> </w:t>
      </w:r>
      <w:r w:rsidR="00F17C8F" w:rsidRPr="005F4FEF">
        <w:rPr>
          <w:rStyle w:val="Hyperlink"/>
          <w:color w:val="auto"/>
          <w:u w:val="none"/>
        </w:rPr>
        <w:t>. Accessed July 2020</w:t>
      </w:r>
    </w:p>
    <w:p w14:paraId="574027EC" w14:textId="77777777" w:rsidR="005F2819" w:rsidRDefault="005F2819" w:rsidP="0014568E">
      <w:pPr>
        <w:rPr>
          <w:lang w:eastAsia="en-AU" w:bidi="ar-SA"/>
        </w:rPr>
      </w:pPr>
    </w:p>
    <w:p w14:paraId="2A137A94" w14:textId="3D59A8B6" w:rsidR="00377DB6" w:rsidRDefault="00377DB6" w:rsidP="00377DB6">
      <w:pPr>
        <w:rPr>
          <w:lang w:eastAsia="en-AU" w:bidi="ar-SA"/>
        </w:rPr>
      </w:pPr>
      <w:r>
        <w:rPr>
          <w:lang w:eastAsia="en-AU" w:bidi="ar-SA"/>
        </w:rPr>
        <w:t>H</w:t>
      </w:r>
      <w:r>
        <w:rPr>
          <w:rFonts w:cs="Arial"/>
          <w:lang w:eastAsia="en-AU" w:bidi="ar-SA"/>
        </w:rPr>
        <w:t>ø</w:t>
      </w:r>
      <w:r>
        <w:rPr>
          <w:lang w:eastAsia="en-AU" w:bidi="ar-SA"/>
        </w:rPr>
        <w:t>y CE</w:t>
      </w:r>
      <w:r w:rsidR="006B0880">
        <w:rPr>
          <w:lang w:eastAsia="en-AU" w:bidi="ar-SA"/>
        </w:rPr>
        <w:t xml:space="preserve">, </w:t>
      </w:r>
      <w:r>
        <w:rPr>
          <w:lang w:eastAsia="en-AU" w:bidi="ar-SA"/>
        </w:rPr>
        <w:t xml:space="preserve">Xu X </w:t>
      </w:r>
      <w:r w:rsidR="006B0880">
        <w:rPr>
          <w:lang w:eastAsia="en-AU" w:bidi="ar-SA"/>
        </w:rPr>
        <w:t>(</w:t>
      </w:r>
      <w:r>
        <w:rPr>
          <w:lang w:eastAsia="en-AU" w:bidi="ar-SA"/>
        </w:rPr>
        <w:t>2001</w:t>
      </w:r>
      <w:r w:rsidR="006B0880">
        <w:rPr>
          <w:lang w:eastAsia="en-AU" w:bidi="ar-SA"/>
        </w:rPr>
        <w:t>)</w:t>
      </w:r>
      <w:r>
        <w:rPr>
          <w:lang w:eastAsia="en-AU" w:bidi="ar-SA"/>
        </w:rPr>
        <w:t xml:space="preserve"> Structured </w:t>
      </w:r>
      <w:r w:rsidR="006B0880">
        <w:rPr>
          <w:lang w:eastAsia="en-AU" w:bidi="ar-SA"/>
        </w:rPr>
        <w:t>t</w:t>
      </w:r>
      <w:r>
        <w:rPr>
          <w:lang w:eastAsia="en-AU" w:bidi="ar-SA"/>
        </w:rPr>
        <w:t xml:space="preserve">riacyglycerols. In: Structured and </w:t>
      </w:r>
      <w:r w:rsidR="006B0880">
        <w:rPr>
          <w:lang w:eastAsia="en-AU" w:bidi="ar-SA"/>
        </w:rPr>
        <w:t>m</w:t>
      </w:r>
      <w:r>
        <w:rPr>
          <w:lang w:eastAsia="en-AU" w:bidi="ar-SA"/>
        </w:rPr>
        <w:t xml:space="preserve">odified </w:t>
      </w:r>
      <w:r w:rsidR="006B0880">
        <w:rPr>
          <w:lang w:eastAsia="en-AU" w:bidi="ar-SA"/>
        </w:rPr>
        <w:t>l</w:t>
      </w:r>
      <w:r>
        <w:rPr>
          <w:lang w:eastAsia="en-AU" w:bidi="ar-SA"/>
        </w:rPr>
        <w:t>ipids. (F.D.</w:t>
      </w:r>
    </w:p>
    <w:p w14:paraId="13C38AAB" w14:textId="48524E5D" w:rsidR="00377DB6" w:rsidRDefault="00377DB6" w:rsidP="00377DB6">
      <w:pPr>
        <w:rPr>
          <w:lang w:eastAsia="en-AU" w:bidi="ar-SA"/>
        </w:rPr>
      </w:pPr>
      <w:r>
        <w:rPr>
          <w:lang w:eastAsia="en-AU" w:bidi="ar-SA"/>
        </w:rPr>
        <w:t>Gunstone, Ed.). New York, NY: Marcel Dekker, p. 209-239.</w:t>
      </w:r>
    </w:p>
    <w:p w14:paraId="40A5D155" w14:textId="77777777" w:rsidR="00377DB6" w:rsidRDefault="00377DB6" w:rsidP="0014568E">
      <w:pPr>
        <w:rPr>
          <w:lang w:eastAsia="en-AU" w:bidi="ar-SA"/>
        </w:rPr>
      </w:pPr>
    </w:p>
    <w:p w14:paraId="0A0B6A26" w14:textId="29E9221E" w:rsidR="00E41884" w:rsidRDefault="00E41884" w:rsidP="0014568E">
      <w:pPr>
        <w:rPr>
          <w:lang w:eastAsia="en-AU" w:bidi="ar-SA"/>
        </w:rPr>
      </w:pPr>
      <w:r>
        <w:rPr>
          <w:lang w:eastAsia="en-AU" w:bidi="ar-SA"/>
        </w:rPr>
        <w:t>Huang T, Chen Y, Shou T-X, Yang J</w:t>
      </w:r>
      <w:r w:rsidR="009114C1">
        <w:rPr>
          <w:lang w:eastAsia="en-AU" w:bidi="ar-SA"/>
        </w:rPr>
        <w:t>,</w:t>
      </w:r>
      <w:r>
        <w:rPr>
          <w:lang w:eastAsia="en-AU" w:bidi="ar-SA"/>
        </w:rPr>
        <w:t xml:space="preserve"> Li D (2011) Safety evaluation of diacylglycerol microemulsion in rats/mice. Agricultural Sciences in China 10: 1117-1124</w:t>
      </w:r>
    </w:p>
    <w:p w14:paraId="43CEBB08" w14:textId="66B88A7C" w:rsidR="00E41884" w:rsidRDefault="000F7930" w:rsidP="0014568E">
      <w:pPr>
        <w:rPr>
          <w:lang w:eastAsia="en-AU" w:bidi="ar-SA"/>
        </w:rPr>
      </w:pPr>
      <w:hyperlink r:id="rId37" w:history="1">
        <w:r w:rsidR="00621323" w:rsidRPr="00714980">
          <w:rPr>
            <w:rStyle w:val="Hyperlink"/>
            <w:lang w:eastAsia="en-AU" w:bidi="ar-SA"/>
          </w:rPr>
          <w:t>http://doi.org/10.1016/S1671-2927(11)60101-6</w:t>
        </w:r>
      </w:hyperlink>
      <w:r w:rsidR="00621323">
        <w:rPr>
          <w:lang w:eastAsia="en-AU" w:bidi="ar-SA"/>
        </w:rPr>
        <w:t xml:space="preserve">   </w:t>
      </w:r>
    </w:p>
    <w:p w14:paraId="7A6A239D" w14:textId="77777777" w:rsidR="0069471E" w:rsidRDefault="0069471E" w:rsidP="0014568E">
      <w:pPr>
        <w:rPr>
          <w:lang w:eastAsia="en-AU" w:bidi="ar-SA"/>
        </w:rPr>
      </w:pPr>
    </w:p>
    <w:p w14:paraId="43E248B7" w14:textId="3157D4FD" w:rsidR="00947813" w:rsidRDefault="0014568E" w:rsidP="0014568E">
      <w:pPr>
        <w:rPr>
          <w:lang w:eastAsia="en-AU" w:bidi="ar-SA"/>
        </w:rPr>
      </w:pPr>
      <w:r>
        <w:rPr>
          <w:lang w:eastAsia="en-AU" w:bidi="ar-SA"/>
        </w:rPr>
        <w:t xml:space="preserve">Japan Ministry of Health, Labour and Welfare </w:t>
      </w:r>
      <w:r w:rsidR="0069471E">
        <w:rPr>
          <w:lang w:eastAsia="en-AU" w:bidi="ar-SA"/>
        </w:rPr>
        <w:t>(</w:t>
      </w:r>
      <w:r>
        <w:rPr>
          <w:lang w:eastAsia="en-AU" w:bidi="ar-SA"/>
        </w:rPr>
        <w:t>2018</w:t>
      </w:r>
      <w:r w:rsidR="0069471E">
        <w:rPr>
          <w:lang w:eastAsia="en-AU" w:bidi="ar-SA"/>
        </w:rPr>
        <w:t>)</w:t>
      </w:r>
      <w:r>
        <w:rPr>
          <w:lang w:eastAsia="en-AU" w:bidi="ar-SA"/>
        </w:rPr>
        <w:t xml:space="preserve"> Section F. Standards for Use’ </w:t>
      </w:r>
      <w:r w:rsidRPr="005F4FEF">
        <w:rPr>
          <w:lang w:eastAsia="en-AU" w:bidi="ar-SA"/>
        </w:rPr>
        <w:t>In Japan’s Specifications and Standards for Food Additives</w:t>
      </w:r>
      <w:r w:rsidRPr="008B7B56">
        <w:rPr>
          <w:i/>
          <w:lang w:eastAsia="en-AU" w:bidi="ar-SA"/>
        </w:rPr>
        <w:t xml:space="preserve"> </w:t>
      </w:r>
      <w:r>
        <w:rPr>
          <w:lang w:eastAsia="en-AU" w:bidi="ar-SA"/>
        </w:rPr>
        <w:t>(9</w:t>
      </w:r>
      <w:r w:rsidRPr="008B7B56">
        <w:rPr>
          <w:vertAlign w:val="superscript"/>
          <w:lang w:eastAsia="en-AU" w:bidi="ar-SA"/>
        </w:rPr>
        <w:t>th</w:t>
      </w:r>
      <w:r>
        <w:rPr>
          <w:lang w:eastAsia="en-AU" w:bidi="ar-SA"/>
        </w:rPr>
        <w:t xml:space="preserve"> Edition). English translation</w:t>
      </w:r>
      <w:r w:rsidR="0069471E">
        <w:rPr>
          <w:lang w:eastAsia="en-AU" w:bidi="ar-SA"/>
        </w:rPr>
        <w:t>.</w:t>
      </w:r>
    </w:p>
    <w:p w14:paraId="2B530E2E" w14:textId="74A509A5" w:rsidR="0014568E" w:rsidRDefault="000F7930" w:rsidP="0014568E">
      <w:pPr>
        <w:rPr>
          <w:lang w:eastAsia="en-AU" w:bidi="ar-SA"/>
        </w:rPr>
      </w:pPr>
      <w:hyperlink r:id="rId38" w:history="1">
        <w:r w:rsidR="00621323" w:rsidRPr="00714980">
          <w:rPr>
            <w:rStyle w:val="Hyperlink"/>
            <w:lang w:eastAsia="en-AU" w:bidi="ar-SA"/>
          </w:rPr>
          <w:t>http://www.nihs.go.jp/dfa/dfa-j/shokuten_kikaku_j.html</w:t>
        </w:r>
      </w:hyperlink>
      <w:r w:rsidR="00621323">
        <w:rPr>
          <w:lang w:eastAsia="en-AU" w:bidi="ar-SA"/>
        </w:rPr>
        <w:t xml:space="preserve"> </w:t>
      </w:r>
      <w:r w:rsidR="00947813">
        <w:rPr>
          <w:lang w:eastAsia="en-AU" w:bidi="ar-SA"/>
        </w:rPr>
        <w:t>.</w:t>
      </w:r>
      <w:r w:rsidR="0014568E">
        <w:rPr>
          <w:lang w:eastAsia="en-AU" w:bidi="ar-SA"/>
        </w:rPr>
        <w:t xml:space="preserve"> </w:t>
      </w:r>
      <w:r w:rsidR="0069471E">
        <w:rPr>
          <w:lang w:eastAsia="en-AU" w:bidi="ar-SA"/>
        </w:rPr>
        <w:t>Accessed</w:t>
      </w:r>
      <w:r w:rsidR="0014568E">
        <w:rPr>
          <w:lang w:eastAsia="en-AU" w:bidi="ar-SA"/>
        </w:rPr>
        <w:t xml:space="preserve"> June 2020. </w:t>
      </w:r>
    </w:p>
    <w:p w14:paraId="2C53CB43" w14:textId="77777777" w:rsidR="0014568E" w:rsidRDefault="0014568E" w:rsidP="0014568E">
      <w:pPr>
        <w:rPr>
          <w:lang w:eastAsia="en-AU" w:bidi="ar-SA"/>
        </w:rPr>
      </w:pPr>
    </w:p>
    <w:p w14:paraId="25A986EF" w14:textId="19A4F0AD" w:rsidR="0014568E" w:rsidRDefault="0014568E" w:rsidP="0014568E">
      <w:pPr>
        <w:rPr>
          <w:lang w:eastAsia="en-AU" w:bidi="ar-SA"/>
        </w:rPr>
      </w:pPr>
      <w:r>
        <w:rPr>
          <w:lang w:eastAsia="en-AU" w:bidi="ar-SA"/>
        </w:rPr>
        <w:t>JECFA (1974a) Toxicological evaluation of certain food additives with a review of general principles and specifications. Seventeenth report of the Joint FAO/WHO Expert Committee on Food Additives. World Health Organization, Geneva</w:t>
      </w:r>
      <w:r w:rsidR="00B46933">
        <w:rPr>
          <w:lang w:eastAsia="en-AU" w:bidi="ar-SA"/>
        </w:rPr>
        <w:t xml:space="preserve">. </w:t>
      </w:r>
      <w:hyperlink r:id="rId39" w:history="1">
        <w:r w:rsidR="00621323" w:rsidRPr="00714980">
          <w:rPr>
            <w:rStyle w:val="Hyperlink"/>
          </w:rPr>
          <w:t>https://apps.who.int/iris/bitstream/handle/10665/41072/WHO_TRS_539.pdf?sequence=1&amp;isAllowed=7</w:t>
        </w:r>
      </w:hyperlink>
      <w:r w:rsidR="00621323">
        <w:t xml:space="preserve"> </w:t>
      </w:r>
      <w:r w:rsidR="00B46933" w:rsidRPr="00621323">
        <w:rPr>
          <w:rStyle w:val="Hyperlink"/>
          <w:u w:val="none"/>
          <w:lang w:eastAsia="en-AU" w:bidi="ar-SA"/>
        </w:rPr>
        <w:t>.</w:t>
      </w:r>
    </w:p>
    <w:p w14:paraId="73AA3E23" w14:textId="77777777" w:rsidR="0014568E" w:rsidRDefault="0014568E" w:rsidP="0014568E">
      <w:pPr>
        <w:rPr>
          <w:lang w:eastAsia="en-AU" w:bidi="ar-SA"/>
        </w:rPr>
      </w:pPr>
    </w:p>
    <w:p w14:paraId="4D9E522D" w14:textId="77777777" w:rsidR="00B46933" w:rsidRDefault="0014568E" w:rsidP="0014568E">
      <w:pPr>
        <w:rPr>
          <w:lang w:eastAsia="en-AU" w:bidi="ar-SA"/>
        </w:rPr>
      </w:pPr>
      <w:r>
        <w:rPr>
          <w:lang w:eastAsia="en-AU" w:bidi="ar-SA"/>
        </w:rPr>
        <w:t>JECFA (1974b) Toxicological evaluation of certain food additives including anticaking agents, antimicrobials, antioxidants, emulsifiers and thickening agents. World Health Organization, Geneva</w:t>
      </w:r>
      <w:r w:rsidR="00B46933">
        <w:rPr>
          <w:lang w:eastAsia="en-AU" w:bidi="ar-SA"/>
        </w:rPr>
        <w:t>.</w:t>
      </w:r>
    </w:p>
    <w:p w14:paraId="65813F0E" w14:textId="2264EE93" w:rsidR="0014568E" w:rsidRDefault="000F7930" w:rsidP="0014568E">
      <w:pPr>
        <w:rPr>
          <w:lang w:eastAsia="en-AU" w:bidi="ar-SA"/>
        </w:rPr>
      </w:pPr>
      <w:hyperlink r:id="rId40" w:history="1">
        <w:r w:rsidR="00621323" w:rsidRPr="00714980">
          <w:rPr>
            <w:rStyle w:val="Hyperlink"/>
          </w:rPr>
          <w:t>http://www.inchem.org/documents/jecfa/jecfamono/v05je44.htm</w:t>
        </w:r>
      </w:hyperlink>
      <w:r w:rsidR="00621323">
        <w:t xml:space="preserve"> </w:t>
      </w:r>
    </w:p>
    <w:p w14:paraId="7AE7D059" w14:textId="77777777" w:rsidR="00A27570" w:rsidRDefault="00A27570" w:rsidP="0014568E">
      <w:pPr>
        <w:rPr>
          <w:lang w:eastAsia="en-AU" w:bidi="ar-SA"/>
        </w:rPr>
      </w:pPr>
    </w:p>
    <w:p w14:paraId="3C0960E6" w14:textId="078CBDFB" w:rsidR="0069471E" w:rsidRDefault="005C7CCD" w:rsidP="0014568E">
      <w:pPr>
        <w:rPr>
          <w:rFonts w:cs="Arial"/>
          <w:color w:val="000000"/>
          <w:szCs w:val="22"/>
          <w:lang w:eastAsia="en-GB" w:bidi="ar-SA"/>
        </w:rPr>
      </w:pPr>
      <w:r w:rsidRPr="00EA70A3">
        <w:rPr>
          <w:rFonts w:cs="Arial"/>
          <w:color w:val="000000"/>
          <w:szCs w:val="22"/>
          <w:lang w:eastAsia="en-GB" w:bidi="ar-SA"/>
        </w:rPr>
        <w:t xml:space="preserve">JECFA (2017) </w:t>
      </w:r>
      <w:r w:rsidR="00493B7C">
        <w:rPr>
          <w:rFonts w:cs="Arial"/>
          <w:color w:val="000000"/>
          <w:szCs w:val="22"/>
          <w:lang w:eastAsia="en-GB" w:bidi="ar-SA"/>
        </w:rPr>
        <w:t xml:space="preserve">Combined </w:t>
      </w:r>
      <w:r w:rsidRPr="00493B7C">
        <w:rPr>
          <w:rFonts w:cs="Arial"/>
          <w:iCs/>
          <w:color w:val="000000"/>
          <w:szCs w:val="22"/>
          <w:lang w:eastAsia="en-GB" w:bidi="ar-SA"/>
        </w:rPr>
        <w:t>Compendium of Food Additive Specifications</w:t>
      </w:r>
      <w:r w:rsidRPr="00EA70A3">
        <w:rPr>
          <w:rFonts w:cs="Arial"/>
          <w:color w:val="000000"/>
          <w:szCs w:val="22"/>
          <w:lang w:eastAsia="en-GB" w:bidi="ar-SA"/>
        </w:rPr>
        <w:t xml:space="preserve">. Food and Agriculture Organization of the United Nations (FAO) </w:t>
      </w:r>
      <w:r w:rsidR="00493B7C">
        <w:rPr>
          <w:rFonts w:cs="Arial"/>
          <w:color w:val="000000"/>
          <w:szCs w:val="22"/>
          <w:lang w:eastAsia="en-GB" w:bidi="ar-SA"/>
        </w:rPr>
        <w:t>Rome, Italy.</w:t>
      </w:r>
      <w:r w:rsidRPr="00EA70A3">
        <w:rPr>
          <w:rFonts w:cs="Arial"/>
          <w:color w:val="000000"/>
          <w:szCs w:val="22"/>
          <w:lang w:eastAsia="en-GB" w:bidi="ar-SA"/>
        </w:rPr>
        <w:t xml:space="preserve"> </w:t>
      </w:r>
      <w:r>
        <w:rPr>
          <w:rFonts w:cs="Arial"/>
          <w:color w:val="000000"/>
          <w:szCs w:val="22"/>
          <w:lang w:eastAsia="en-GB" w:bidi="ar-SA"/>
        </w:rPr>
        <w:t>Search for specific specifications a</w:t>
      </w:r>
      <w:r w:rsidRPr="00EA70A3">
        <w:rPr>
          <w:rFonts w:cs="Arial"/>
          <w:color w:val="000000"/>
          <w:szCs w:val="22"/>
          <w:lang w:eastAsia="en-GB" w:bidi="ar-SA"/>
        </w:rPr>
        <w:t>vailable at:</w:t>
      </w:r>
    </w:p>
    <w:p w14:paraId="6E01B731" w14:textId="55D60598" w:rsidR="005C7CCD" w:rsidRDefault="000F7930" w:rsidP="0014568E">
      <w:pPr>
        <w:rPr>
          <w:lang w:eastAsia="en-AU" w:bidi="ar-SA"/>
        </w:rPr>
      </w:pPr>
      <w:hyperlink r:id="rId41" w:history="1">
        <w:r w:rsidR="00621323" w:rsidRPr="00714980">
          <w:rPr>
            <w:rStyle w:val="Hyperlink"/>
          </w:rPr>
          <w:t>http://www.fao.org/food/food-safety-quality/scientific-advice/jecfa/jecfa-additives/en/</w:t>
        </w:r>
      </w:hyperlink>
      <w:r w:rsidR="00621323">
        <w:t xml:space="preserve"> </w:t>
      </w:r>
      <w:r w:rsidR="005C7CCD">
        <w:rPr>
          <w:rFonts w:cs="Arial"/>
          <w:color w:val="000000"/>
          <w:szCs w:val="22"/>
          <w:lang w:eastAsia="en-GB" w:bidi="ar-SA"/>
        </w:rPr>
        <w:t xml:space="preserve"> </w:t>
      </w:r>
      <w:r w:rsidR="007E6522">
        <w:rPr>
          <w:rFonts w:cs="Arial"/>
          <w:color w:val="000000"/>
          <w:szCs w:val="22"/>
          <w:lang w:eastAsia="en-GB" w:bidi="ar-SA"/>
        </w:rPr>
        <w:t>Accessed June 2020</w:t>
      </w:r>
    </w:p>
    <w:p w14:paraId="4013105E" w14:textId="77777777" w:rsidR="005C7CCD" w:rsidRDefault="005C7CCD" w:rsidP="0014568E">
      <w:pPr>
        <w:rPr>
          <w:lang w:eastAsia="en-AU" w:bidi="ar-SA"/>
        </w:rPr>
      </w:pPr>
    </w:p>
    <w:p w14:paraId="2A5CDF25" w14:textId="477DE8B5" w:rsidR="0014568E" w:rsidRDefault="0014568E" w:rsidP="0014568E">
      <w:pPr>
        <w:rPr>
          <w:lang w:eastAsia="en-AU" w:bidi="ar-SA"/>
        </w:rPr>
      </w:pPr>
      <w:r>
        <w:rPr>
          <w:lang w:eastAsia="en-AU" w:bidi="ar-SA"/>
        </w:rPr>
        <w:t>Kasamatsu T, Ogura R, Ikeda N, Morita O, Saigo K, Watabe H, Saito Y</w:t>
      </w:r>
      <w:r w:rsidR="00A64BFE">
        <w:rPr>
          <w:lang w:eastAsia="en-AU" w:bidi="ar-SA"/>
        </w:rPr>
        <w:t>,</w:t>
      </w:r>
      <w:r>
        <w:rPr>
          <w:lang w:eastAsia="en-AU" w:bidi="ar-SA"/>
        </w:rPr>
        <w:t xml:space="preserve"> Suzuki H (2005) Genotoxicity studies on dietary diacylglycerol (DAG) oil. Food and Chemical Toxicology 43: 253-260</w:t>
      </w:r>
    </w:p>
    <w:p w14:paraId="378CCED8" w14:textId="242AE756" w:rsidR="00835CC3" w:rsidRDefault="000F7930" w:rsidP="0014568E">
      <w:pPr>
        <w:rPr>
          <w:lang w:eastAsia="en-AU" w:bidi="ar-SA"/>
        </w:rPr>
      </w:pPr>
      <w:hyperlink r:id="rId42" w:history="1">
        <w:r w:rsidR="00621323" w:rsidRPr="00714980">
          <w:rPr>
            <w:rStyle w:val="Hyperlink"/>
          </w:rPr>
          <w:t>https://doi.org/10.1016/j.fct.2004.10.001</w:t>
        </w:r>
      </w:hyperlink>
      <w:r w:rsidR="00621323">
        <w:t xml:space="preserve"> </w:t>
      </w:r>
    </w:p>
    <w:p w14:paraId="48B987D4" w14:textId="77777777" w:rsidR="006B0880" w:rsidRDefault="006B0880" w:rsidP="0014568E">
      <w:pPr>
        <w:rPr>
          <w:lang w:eastAsia="en-AU" w:bidi="ar-SA"/>
        </w:rPr>
      </w:pPr>
    </w:p>
    <w:p w14:paraId="47E946DD" w14:textId="1A45A383" w:rsidR="0014568E" w:rsidRDefault="006A77C3" w:rsidP="0014568E">
      <w:pPr>
        <w:rPr>
          <w:lang w:eastAsia="en-AU" w:bidi="ar-SA"/>
        </w:rPr>
      </w:pPr>
      <w:r>
        <w:rPr>
          <w:lang w:eastAsia="en-AU" w:bidi="ar-SA"/>
        </w:rPr>
        <w:t>Lien EL,</w:t>
      </w:r>
      <w:r w:rsidR="006B0880">
        <w:rPr>
          <w:lang w:eastAsia="en-AU" w:bidi="ar-SA"/>
        </w:rPr>
        <w:t xml:space="preserve"> </w:t>
      </w:r>
      <w:r>
        <w:rPr>
          <w:lang w:eastAsia="en-AU" w:bidi="ar-SA"/>
        </w:rPr>
        <w:t>Boyle FG, Yuhas R, Tomarelli RM</w:t>
      </w:r>
      <w:r w:rsidR="00947813">
        <w:rPr>
          <w:lang w:eastAsia="en-AU" w:bidi="ar-SA"/>
        </w:rPr>
        <w:t>,</w:t>
      </w:r>
      <w:r w:rsidR="006B0880">
        <w:rPr>
          <w:lang w:eastAsia="en-AU" w:bidi="ar-SA"/>
        </w:rPr>
        <w:t xml:space="preserve"> </w:t>
      </w:r>
      <w:r>
        <w:rPr>
          <w:lang w:eastAsia="en-AU" w:bidi="ar-SA"/>
        </w:rPr>
        <w:t>Quinlan P (1997) The effect of triglyceride positional distribution on fatty acid absorption in rats. Journal of Pediatric Gastroenterology and Nutrition 25:167-174</w:t>
      </w:r>
    </w:p>
    <w:p w14:paraId="1D054AA0" w14:textId="56A4FF3C" w:rsidR="00947813" w:rsidRDefault="000F7930" w:rsidP="0014568E">
      <w:pPr>
        <w:rPr>
          <w:lang w:eastAsia="en-AU" w:bidi="ar-SA"/>
        </w:rPr>
      </w:pPr>
      <w:hyperlink r:id="rId43" w:history="1">
        <w:r w:rsidR="00621323" w:rsidRPr="00714980">
          <w:rPr>
            <w:rStyle w:val="Hyperlink"/>
            <w:lang w:eastAsia="en-AU" w:bidi="ar-SA"/>
          </w:rPr>
          <w:t>https://doi.org/10.1097/00005176-199708000-00007</w:t>
        </w:r>
      </w:hyperlink>
      <w:r w:rsidR="00621323">
        <w:rPr>
          <w:lang w:eastAsia="en-AU" w:bidi="ar-SA"/>
        </w:rPr>
        <w:t xml:space="preserve"> </w:t>
      </w:r>
    </w:p>
    <w:p w14:paraId="5784E9A2" w14:textId="77777777" w:rsidR="006A77C3" w:rsidRDefault="006A77C3" w:rsidP="0014568E">
      <w:pPr>
        <w:rPr>
          <w:lang w:eastAsia="en-AU" w:bidi="ar-SA"/>
        </w:rPr>
      </w:pPr>
    </w:p>
    <w:p w14:paraId="5B505D82" w14:textId="5043C4E0" w:rsidR="0014568E" w:rsidRDefault="0014568E" w:rsidP="0014568E">
      <w:pPr>
        <w:rPr>
          <w:lang w:eastAsia="en-AU" w:bidi="ar-SA"/>
        </w:rPr>
      </w:pPr>
      <w:r>
        <w:rPr>
          <w:lang w:eastAsia="en-AU" w:bidi="ar-SA"/>
        </w:rPr>
        <w:t>Martin D, Moran-Valero MI, V</w:t>
      </w:r>
      <w:r>
        <w:rPr>
          <w:rFonts w:cs="Arial"/>
          <w:lang w:eastAsia="en-AU" w:bidi="ar-SA"/>
        </w:rPr>
        <w:t>á</w:t>
      </w:r>
      <w:r>
        <w:rPr>
          <w:lang w:eastAsia="en-AU" w:bidi="ar-SA"/>
        </w:rPr>
        <w:t>zquez L, Reglero G</w:t>
      </w:r>
      <w:r w:rsidR="009114C1">
        <w:rPr>
          <w:lang w:eastAsia="en-AU" w:bidi="ar-SA"/>
        </w:rPr>
        <w:t xml:space="preserve">, </w:t>
      </w:r>
      <w:r>
        <w:rPr>
          <w:lang w:eastAsia="en-AU" w:bidi="ar-SA"/>
        </w:rPr>
        <w:t>Torres CF (2014) Comparative in vitro intestinal digestion of 1,3 diglyceride and 1-monoglyceride rich oils and their mixtures. Food Research International 64: 603-609</w:t>
      </w:r>
    </w:p>
    <w:p w14:paraId="59FC0F36" w14:textId="316FB695" w:rsidR="009114C1" w:rsidRDefault="000F7930" w:rsidP="0014568E">
      <w:pPr>
        <w:rPr>
          <w:lang w:eastAsia="en-AU" w:bidi="ar-SA"/>
        </w:rPr>
      </w:pPr>
      <w:hyperlink r:id="rId44" w:history="1">
        <w:r w:rsidR="00621323" w:rsidRPr="00714980">
          <w:rPr>
            <w:rStyle w:val="Hyperlink"/>
            <w:lang w:eastAsia="en-AU" w:bidi="ar-SA"/>
          </w:rPr>
          <w:t>http://doi.org/10.1016/j.foodres.2014.07.026</w:t>
        </w:r>
      </w:hyperlink>
      <w:r w:rsidR="00621323">
        <w:rPr>
          <w:lang w:eastAsia="en-AU" w:bidi="ar-SA"/>
        </w:rPr>
        <w:t xml:space="preserve"> </w:t>
      </w:r>
    </w:p>
    <w:p w14:paraId="35201A2C" w14:textId="77777777" w:rsidR="0014568E" w:rsidRDefault="0014568E" w:rsidP="0014568E">
      <w:pPr>
        <w:rPr>
          <w:lang w:eastAsia="en-AU" w:bidi="ar-SA"/>
        </w:rPr>
      </w:pPr>
    </w:p>
    <w:p w14:paraId="5BD45D37" w14:textId="14DDEB24" w:rsidR="00D0483F" w:rsidRDefault="00D0483F" w:rsidP="0014568E">
      <w:pPr>
        <w:rPr>
          <w:lang w:eastAsia="en-AU" w:bidi="ar-SA"/>
        </w:rPr>
      </w:pPr>
      <w:r>
        <w:rPr>
          <w:lang w:eastAsia="en-AU" w:bidi="ar-SA"/>
        </w:rPr>
        <w:t>Meguro S, Osaki N, Onizawa K, Yajima N, Hase T, Matsuo N</w:t>
      </w:r>
      <w:r w:rsidR="009114C1">
        <w:rPr>
          <w:lang w:eastAsia="en-AU" w:bidi="ar-SA"/>
        </w:rPr>
        <w:t>,</w:t>
      </w:r>
      <w:r>
        <w:rPr>
          <w:lang w:eastAsia="en-AU" w:bidi="ar-SA"/>
        </w:rPr>
        <w:t xml:space="preserve"> Tokimitsu I</w:t>
      </w:r>
      <w:r w:rsidR="009114C1">
        <w:rPr>
          <w:lang w:eastAsia="en-AU" w:bidi="ar-SA"/>
        </w:rPr>
        <w:t xml:space="preserve"> (2007)</w:t>
      </w:r>
      <w:r>
        <w:rPr>
          <w:lang w:eastAsia="en-AU" w:bidi="ar-SA"/>
        </w:rPr>
        <w:t xml:space="preserve"> Comparison of dietary triacylglycerol oil and diacylglycerol oil in protein kinase C activation. Food and Chemical Toxicology 45: 1165-1172</w:t>
      </w:r>
    </w:p>
    <w:p w14:paraId="04EA7F15" w14:textId="6F2E8B55" w:rsidR="009114C1" w:rsidRDefault="000F7930" w:rsidP="0014568E">
      <w:pPr>
        <w:rPr>
          <w:lang w:eastAsia="en-AU" w:bidi="ar-SA"/>
        </w:rPr>
      </w:pPr>
      <w:hyperlink r:id="rId45" w:history="1">
        <w:r w:rsidR="00621323" w:rsidRPr="00714980">
          <w:rPr>
            <w:rStyle w:val="Hyperlink"/>
            <w:lang w:eastAsia="en-AU" w:bidi="ar-SA"/>
          </w:rPr>
          <w:t>https://doi.org/10.1016/j.fct.2006.12.024</w:t>
        </w:r>
      </w:hyperlink>
      <w:r w:rsidR="00621323">
        <w:rPr>
          <w:lang w:eastAsia="en-AU" w:bidi="ar-SA"/>
        </w:rPr>
        <w:t xml:space="preserve"> </w:t>
      </w:r>
    </w:p>
    <w:p w14:paraId="5ED5AB9C" w14:textId="0C076202" w:rsidR="00D0483F" w:rsidRDefault="00D0483F" w:rsidP="0014568E">
      <w:pPr>
        <w:rPr>
          <w:lang w:eastAsia="en-AU" w:bidi="ar-SA"/>
        </w:rPr>
      </w:pPr>
    </w:p>
    <w:p w14:paraId="598940B3" w14:textId="7789E55B" w:rsidR="00060155" w:rsidRPr="008C2BD5" w:rsidRDefault="00060155" w:rsidP="00060155">
      <w:pPr>
        <w:rPr>
          <w:rFonts w:eastAsia="Calibri"/>
        </w:rPr>
      </w:pPr>
      <w:r w:rsidRPr="008C2BD5">
        <w:rPr>
          <w:rFonts w:eastAsia="Calibri"/>
        </w:rPr>
        <w:t>Ministry of Health (2005) 2002 National Children's Nutrition Survey: National Confidentialised Unit Record File (CURF) User Document. Ministry of Health, Wellington</w:t>
      </w:r>
      <w:r w:rsidR="009114C1">
        <w:rPr>
          <w:rFonts w:eastAsia="Calibri"/>
        </w:rPr>
        <w:t>.</w:t>
      </w:r>
    </w:p>
    <w:p w14:paraId="0183EB4C" w14:textId="77777777" w:rsidR="00060155" w:rsidRDefault="00060155" w:rsidP="00060155">
      <w:pPr>
        <w:rPr>
          <w:rFonts w:eastAsia="Calibri"/>
        </w:rPr>
      </w:pPr>
    </w:p>
    <w:p w14:paraId="3CE67509" w14:textId="2A755ECC" w:rsidR="00060155" w:rsidRPr="008C2BD5" w:rsidRDefault="00060155" w:rsidP="00060155">
      <w:pPr>
        <w:rPr>
          <w:rFonts w:eastAsia="Calibri"/>
        </w:rPr>
      </w:pPr>
      <w:r w:rsidRPr="008C2BD5">
        <w:rPr>
          <w:rFonts w:eastAsia="Calibri"/>
        </w:rPr>
        <w:t>Ministry of Health (2011a) Methodology report for the 2008/09 New Zealand Adult Nutrition Survey. Ministry of Health, Wellington</w:t>
      </w:r>
      <w:r w:rsidR="009114C1">
        <w:rPr>
          <w:rFonts w:eastAsia="Calibri"/>
        </w:rPr>
        <w:t>.</w:t>
      </w:r>
    </w:p>
    <w:p w14:paraId="7024BD79" w14:textId="77777777" w:rsidR="00060155" w:rsidRDefault="00060155" w:rsidP="00060155">
      <w:pPr>
        <w:rPr>
          <w:rFonts w:eastAsia="Calibri"/>
        </w:rPr>
      </w:pPr>
    </w:p>
    <w:p w14:paraId="4C85C324" w14:textId="1E65C5EE" w:rsidR="00060155" w:rsidRDefault="00060155" w:rsidP="00060155">
      <w:pPr>
        <w:rPr>
          <w:rFonts w:eastAsia="Calibri"/>
        </w:rPr>
      </w:pPr>
      <w:r w:rsidRPr="008C2BD5">
        <w:rPr>
          <w:rFonts w:eastAsia="Calibri"/>
        </w:rPr>
        <w:t>Ministry of Health (2011b) A focus on nutrition: Key findings of the 2008/09 New Zealand Adult Nutrition Survey. Ministry of Health, Wellington</w:t>
      </w:r>
      <w:r w:rsidR="009114C1">
        <w:rPr>
          <w:rFonts w:eastAsia="Calibri"/>
        </w:rPr>
        <w:t>.</w:t>
      </w:r>
    </w:p>
    <w:p w14:paraId="1247ACB6" w14:textId="77777777" w:rsidR="00060155" w:rsidRDefault="00060155" w:rsidP="0014568E">
      <w:pPr>
        <w:rPr>
          <w:lang w:eastAsia="en-AU" w:bidi="ar-SA"/>
        </w:rPr>
      </w:pPr>
    </w:p>
    <w:p w14:paraId="2B98CA93" w14:textId="31AA6A19" w:rsidR="0014568E" w:rsidRDefault="0014568E" w:rsidP="0014568E">
      <w:pPr>
        <w:rPr>
          <w:lang w:eastAsia="en-AU" w:bidi="ar-SA"/>
        </w:rPr>
      </w:pPr>
      <w:r>
        <w:rPr>
          <w:lang w:eastAsia="en-AU" w:bidi="ar-SA"/>
        </w:rPr>
        <w:t>Morita O, Tamaki Y, Kirkpatrick JB</w:t>
      </w:r>
      <w:r w:rsidR="009114C1">
        <w:rPr>
          <w:lang w:eastAsia="en-AU" w:bidi="ar-SA"/>
        </w:rPr>
        <w:t xml:space="preserve">, </w:t>
      </w:r>
      <w:r>
        <w:rPr>
          <w:lang w:eastAsia="en-AU" w:bidi="ar-SA"/>
        </w:rPr>
        <w:t>Chengelis CP (2008a). Safety assessment of heated diacylglycerol oil: Subchronic toxicity study in rats. Food and Chemical Toxicology 46: 2748-2757</w:t>
      </w:r>
    </w:p>
    <w:p w14:paraId="4061D5BF" w14:textId="6A713539" w:rsidR="008B5733" w:rsidRDefault="000F7930" w:rsidP="0014568E">
      <w:pPr>
        <w:rPr>
          <w:lang w:eastAsia="en-AU" w:bidi="ar-SA"/>
        </w:rPr>
      </w:pPr>
      <w:hyperlink r:id="rId46" w:history="1">
        <w:r w:rsidR="00621323" w:rsidRPr="00714980">
          <w:rPr>
            <w:rStyle w:val="Hyperlink"/>
            <w:lang w:eastAsia="en-AU" w:bidi="ar-SA"/>
          </w:rPr>
          <w:t>https://doi.org/10.1016/j.fct.2008.04.031</w:t>
        </w:r>
      </w:hyperlink>
      <w:r w:rsidR="00621323">
        <w:rPr>
          <w:lang w:eastAsia="en-AU" w:bidi="ar-SA"/>
        </w:rPr>
        <w:t xml:space="preserve"> </w:t>
      </w:r>
    </w:p>
    <w:p w14:paraId="5376BA26" w14:textId="77777777" w:rsidR="009114C1" w:rsidRDefault="009114C1" w:rsidP="0014568E">
      <w:pPr>
        <w:rPr>
          <w:lang w:eastAsia="en-AU" w:bidi="ar-SA"/>
        </w:rPr>
      </w:pPr>
    </w:p>
    <w:p w14:paraId="5A345ADD" w14:textId="4BA8A37A" w:rsidR="008B5733" w:rsidRDefault="008B5733" w:rsidP="0014568E">
      <w:pPr>
        <w:rPr>
          <w:lang w:eastAsia="en-AU" w:bidi="ar-SA"/>
        </w:rPr>
      </w:pPr>
      <w:r>
        <w:rPr>
          <w:lang w:eastAsia="en-AU" w:bidi="ar-SA"/>
        </w:rPr>
        <w:t>Morita O, Knapp JF, Tamaki Y, Nemec MD, Varsho BJ</w:t>
      </w:r>
      <w:r w:rsidR="009114C1">
        <w:rPr>
          <w:lang w:eastAsia="en-AU" w:bidi="ar-SA"/>
        </w:rPr>
        <w:t xml:space="preserve">, </w:t>
      </w:r>
      <w:r>
        <w:rPr>
          <w:lang w:eastAsia="en-AU" w:bidi="ar-SA"/>
        </w:rPr>
        <w:t>Stump DG (2008b) Safety assessment of dietary diacylglycerol oil: A two-generation reproductive toxicity study in rats. Food and Chemical Toxicology 46: 3059-3068</w:t>
      </w:r>
    </w:p>
    <w:p w14:paraId="412C024C" w14:textId="5014CFA9" w:rsidR="009114C1" w:rsidRDefault="000F7930" w:rsidP="0014568E">
      <w:pPr>
        <w:rPr>
          <w:lang w:eastAsia="en-AU" w:bidi="ar-SA"/>
        </w:rPr>
      </w:pPr>
      <w:hyperlink r:id="rId47" w:history="1">
        <w:r w:rsidR="00621323" w:rsidRPr="00714980">
          <w:rPr>
            <w:rStyle w:val="Hyperlink"/>
            <w:lang w:eastAsia="en-AU" w:bidi="ar-SA"/>
          </w:rPr>
          <w:t>https://doi.org/10.1016/j.fct.2008.06.008</w:t>
        </w:r>
      </w:hyperlink>
      <w:r w:rsidR="00621323">
        <w:rPr>
          <w:lang w:eastAsia="en-AU" w:bidi="ar-SA"/>
        </w:rPr>
        <w:t xml:space="preserve"> </w:t>
      </w:r>
    </w:p>
    <w:p w14:paraId="70EFF15A" w14:textId="3E4D1C95" w:rsidR="00915EBB" w:rsidRDefault="00915EBB" w:rsidP="0014568E">
      <w:pPr>
        <w:rPr>
          <w:lang w:eastAsia="en-AU" w:bidi="ar-SA"/>
        </w:rPr>
      </w:pPr>
    </w:p>
    <w:p w14:paraId="2F4E4C08" w14:textId="79A7691C" w:rsidR="00915EBB" w:rsidRDefault="00915EBB" w:rsidP="0014568E">
      <w:pPr>
        <w:rPr>
          <w:lang w:eastAsia="en-AU" w:bidi="ar-SA"/>
        </w:rPr>
      </w:pPr>
      <w:r>
        <w:rPr>
          <w:lang w:eastAsia="en-AU" w:bidi="ar-SA"/>
        </w:rPr>
        <w:t>Morita O</w:t>
      </w:r>
      <w:r w:rsidR="009114C1">
        <w:rPr>
          <w:lang w:eastAsia="en-AU" w:bidi="ar-SA"/>
        </w:rPr>
        <w:t>,</w:t>
      </w:r>
      <w:r>
        <w:rPr>
          <w:lang w:eastAsia="en-AU" w:bidi="ar-SA"/>
        </w:rPr>
        <w:t xml:space="preserve"> Knapp JF, Tamaki Y, Varsho BJ, Stump DG</w:t>
      </w:r>
      <w:r w:rsidR="009114C1">
        <w:rPr>
          <w:lang w:eastAsia="en-AU" w:bidi="ar-SA"/>
        </w:rPr>
        <w:t>,</w:t>
      </w:r>
      <w:r>
        <w:rPr>
          <w:lang w:eastAsia="en-AU" w:bidi="ar-SA"/>
        </w:rPr>
        <w:t xml:space="preserve"> Neme</w:t>
      </w:r>
      <w:r w:rsidR="00A64BFE">
        <w:rPr>
          <w:lang w:eastAsia="en-AU" w:bidi="ar-SA"/>
        </w:rPr>
        <w:t>c</w:t>
      </w:r>
      <w:r>
        <w:rPr>
          <w:lang w:eastAsia="en-AU" w:bidi="ar-SA"/>
        </w:rPr>
        <w:t xml:space="preserve"> MD (2008c) Effects of dietary diacylglycerol oil on embryo/feta</w:t>
      </w:r>
      <w:r w:rsidR="000F292C">
        <w:rPr>
          <w:lang w:eastAsia="en-AU" w:bidi="ar-SA"/>
        </w:rPr>
        <w:t>l</w:t>
      </w:r>
      <w:r>
        <w:rPr>
          <w:lang w:eastAsia="en-AU" w:bidi="ar-SA"/>
        </w:rPr>
        <w:t xml:space="preserve"> development in rats. Food and Chemical Toxicology 46: 2510-2516</w:t>
      </w:r>
    </w:p>
    <w:p w14:paraId="114C8894" w14:textId="3926FEA3" w:rsidR="00835CC3" w:rsidRDefault="000F7930" w:rsidP="0014568E">
      <w:pPr>
        <w:rPr>
          <w:lang w:eastAsia="en-AU" w:bidi="ar-SA"/>
        </w:rPr>
      </w:pPr>
      <w:hyperlink r:id="rId48" w:history="1">
        <w:r w:rsidR="00621323" w:rsidRPr="00714980">
          <w:rPr>
            <w:rStyle w:val="Hyperlink"/>
            <w:lang w:eastAsia="en-AU" w:bidi="ar-SA"/>
          </w:rPr>
          <w:t>https://doi.org/10.1016/j.fct.2008.04.004</w:t>
        </w:r>
      </w:hyperlink>
      <w:r w:rsidR="00621323">
        <w:rPr>
          <w:lang w:eastAsia="en-AU" w:bidi="ar-SA"/>
        </w:rPr>
        <w:t xml:space="preserve"> </w:t>
      </w:r>
    </w:p>
    <w:p w14:paraId="1FA032E9" w14:textId="77777777" w:rsidR="0014568E" w:rsidRDefault="0014568E" w:rsidP="0014568E">
      <w:pPr>
        <w:rPr>
          <w:lang w:eastAsia="en-AU" w:bidi="ar-SA"/>
        </w:rPr>
      </w:pPr>
    </w:p>
    <w:p w14:paraId="5FCDCF63" w14:textId="39039B3F" w:rsidR="0014568E" w:rsidRDefault="0014568E" w:rsidP="0014568E">
      <w:pPr>
        <w:rPr>
          <w:lang w:eastAsia="en-AU" w:bidi="ar-SA"/>
        </w:rPr>
      </w:pPr>
      <w:r>
        <w:rPr>
          <w:lang w:eastAsia="en-AU" w:bidi="ar-SA"/>
        </w:rPr>
        <w:t>Morita O</w:t>
      </w:r>
      <w:r w:rsidR="009114C1">
        <w:rPr>
          <w:lang w:eastAsia="en-AU" w:bidi="ar-SA"/>
        </w:rPr>
        <w:t xml:space="preserve">, </w:t>
      </w:r>
      <w:r>
        <w:rPr>
          <w:lang w:eastAsia="en-AU" w:bidi="ar-SA"/>
        </w:rPr>
        <w:t xml:space="preserve">Soni MG (2009) Safety assessment of diacylglycerol oil as an edible oil: A </w:t>
      </w:r>
      <w:r>
        <w:rPr>
          <w:lang w:eastAsia="en-AU" w:bidi="ar-SA"/>
        </w:rPr>
        <w:lastRenderedPageBreak/>
        <w:t>review of the published literature. Food and Chemical Toxicology 47: 9-21</w:t>
      </w:r>
    </w:p>
    <w:p w14:paraId="163DFC73" w14:textId="1F892DC4" w:rsidR="00835CC3" w:rsidRDefault="000F7930" w:rsidP="0014568E">
      <w:pPr>
        <w:rPr>
          <w:lang w:eastAsia="en-AU" w:bidi="ar-SA"/>
        </w:rPr>
      </w:pPr>
      <w:hyperlink r:id="rId49" w:history="1">
        <w:r w:rsidR="00621323" w:rsidRPr="00714980">
          <w:rPr>
            <w:rStyle w:val="Hyperlink"/>
            <w:lang w:eastAsia="en-AU" w:bidi="ar-SA"/>
          </w:rPr>
          <w:t>https://doi.org/10.1016/j.fct.2008.09.044</w:t>
        </w:r>
      </w:hyperlink>
      <w:r w:rsidR="00621323">
        <w:rPr>
          <w:lang w:eastAsia="en-AU" w:bidi="ar-SA"/>
        </w:rPr>
        <w:t xml:space="preserve"> </w:t>
      </w:r>
    </w:p>
    <w:p w14:paraId="706D7E25" w14:textId="24D5B144" w:rsidR="008F475B" w:rsidRDefault="008F475B" w:rsidP="0014568E">
      <w:pPr>
        <w:rPr>
          <w:lang w:eastAsia="en-AU" w:bidi="ar-SA"/>
        </w:rPr>
      </w:pPr>
    </w:p>
    <w:p w14:paraId="34FE4FC0" w14:textId="5440BED5" w:rsidR="008F475B" w:rsidRDefault="008F475B" w:rsidP="0014568E">
      <w:pPr>
        <w:rPr>
          <w:lang w:eastAsia="en-AU" w:bidi="ar-SA"/>
        </w:rPr>
      </w:pPr>
      <w:r>
        <w:rPr>
          <w:lang w:eastAsia="en-AU" w:bidi="ar-SA"/>
        </w:rPr>
        <w:t>Telle-Hansen VH, Narverud I, Retterst</w:t>
      </w:r>
      <w:r w:rsidRPr="008F475B">
        <w:rPr>
          <w:lang w:eastAsia="en-AU" w:bidi="ar-SA"/>
        </w:rPr>
        <w:t>ø</w:t>
      </w:r>
      <w:r>
        <w:rPr>
          <w:lang w:eastAsia="en-AU" w:bidi="ar-SA"/>
        </w:rPr>
        <w:t>l K, Wesseltoft-Rao N, Mosd</w:t>
      </w:r>
      <w:r w:rsidRPr="008F475B">
        <w:rPr>
          <w:lang w:eastAsia="en-AU" w:bidi="ar-SA"/>
        </w:rPr>
        <w:t>ø</w:t>
      </w:r>
      <w:r>
        <w:rPr>
          <w:lang w:eastAsia="en-AU" w:bidi="ar-SA"/>
        </w:rPr>
        <w:t>l A</w:t>
      </w:r>
      <w:r w:rsidR="00200669">
        <w:rPr>
          <w:lang w:eastAsia="en-AU" w:bidi="ar-SA"/>
        </w:rPr>
        <w:t>,</w:t>
      </w:r>
      <w:r>
        <w:rPr>
          <w:lang w:eastAsia="en-AU" w:bidi="ar-SA"/>
        </w:rPr>
        <w:t xml:space="preserve"> Granlund L, Christiansen KF, Lamglait A, Halvorsen B, Holven KB</w:t>
      </w:r>
      <w:r w:rsidR="00835CC3">
        <w:rPr>
          <w:lang w:eastAsia="en-AU" w:bidi="ar-SA"/>
        </w:rPr>
        <w:t>,</w:t>
      </w:r>
      <w:r>
        <w:rPr>
          <w:lang w:eastAsia="en-AU" w:bidi="ar-SA"/>
        </w:rPr>
        <w:t xml:space="preserve"> Ulven SM (2012) Substitution of TAG oil with diacylglycerol oil in food items improves the predicted 10 years cardiovascular risk score in healthy, overweight subjects. Journal of Nutritional Science 1 (el7): 1-13</w:t>
      </w:r>
    </w:p>
    <w:p w14:paraId="24F02E25" w14:textId="622AD3B2" w:rsidR="00835CC3" w:rsidRPr="0042368D" w:rsidRDefault="000F7930" w:rsidP="0014568E">
      <w:pPr>
        <w:rPr>
          <w:lang w:eastAsia="en-AU" w:bidi="ar-SA"/>
        </w:rPr>
      </w:pPr>
      <w:hyperlink r:id="rId50" w:history="1">
        <w:r w:rsidR="00621323" w:rsidRPr="00714980">
          <w:rPr>
            <w:rStyle w:val="Hyperlink"/>
            <w:lang w:eastAsia="en-AU" w:bidi="ar-SA"/>
          </w:rPr>
          <w:t>https://dx.doi.org/10.1017%2Fjns.2012.18</w:t>
        </w:r>
      </w:hyperlink>
      <w:r w:rsidR="00621323">
        <w:rPr>
          <w:lang w:eastAsia="en-AU" w:bidi="ar-SA"/>
        </w:rPr>
        <w:t xml:space="preserve"> </w:t>
      </w:r>
    </w:p>
    <w:p w14:paraId="4A8373FE" w14:textId="5236996C" w:rsidR="0042368D" w:rsidRDefault="0042368D" w:rsidP="0042368D">
      <w:pPr>
        <w:rPr>
          <w:lang w:eastAsia="en-AU" w:bidi="ar-SA"/>
        </w:rPr>
      </w:pPr>
    </w:p>
    <w:p w14:paraId="67917A6E" w14:textId="77777777" w:rsidR="0069471E" w:rsidRDefault="006B349F" w:rsidP="006B349F">
      <w:pPr>
        <w:rPr>
          <w:szCs w:val="22"/>
        </w:rPr>
      </w:pPr>
      <w:r w:rsidRPr="008F475B">
        <w:rPr>
          <w:szCs w:val="22"/>
        </w:rPr>
        <w:t>The United States Pharmacopeia (2018) Food Chemicals Codex 11th Edition, United States Pharmacopeial Convention, Rockville, MD.</w:t>
      </w:r>
    </w:p>
    <w:p w14:paraId="50D04350" w14:textId="67796C1D" w:rsidR="006B349F" w:rsidRDefault="000F7930" w:rsidP="006B349F">
      <w:pPr>
        <w:rPr>
          <w:szCs w:val="22"/>
        </w:rPr>
      </w:pPr>
      <w:hyperlink r:id="rId51" w:history="1">
        <w:r w:rsidR="00621323" w:rsidRPr="00714980">
          <w:rPr>
            <w:rStyle w:val="Hyperlink"/>
            <w:szCs w:val="22"/>
          </w:rPr>
          <w:t>http://publications.usp.org/</w:t>
        </w:r>
      </w:hyperlink>
      <w:r w:rsidR="00621323">
        <w:rPr>
          <w:color w:val="3333FF"/>
          <w:szCs w:val="22"/>
        </w:rPr>
        <w:t xml:space="preserve"> </w:t>
      </w:r>
      <w:r w:rsidR="00D42EC2" w:rsidRPr="008F475B">
        <w:rPr>
          <w:color w:val="3333FF"/>
          <w:szCs w:val="22"/>
        </w:rPr>
        <w:t xml:space="preserve"> </w:t>
      </w:r>
      <w:r w:rsidR="00D42EC2" w:rsidRPr="008F475B">
        <w:rPr>
          <w:szCs w:val="22"/>
        </w:rPr>
        <w:t>Accessed June 2020</w:t>
      </w:r>
      <w:r w:rsidR="00621323">
        <w:rPr>
          <w:szCs w:val="22"/>
        </w:rPr>
        <w:t xml:space="preserve"> </w:t>
      </w:r>
    </w:p>
    <w:p w14:paraId="0E572B26" w14:textId="030B8122" w:rsidR="0090324D" w:rsidRDefault="0090324D" w:rsidP="006B349F">
      <w:pPr>
        <w:rPr>
          <w:szCs w:val="22"/>
        </w:rPr>
      </w:pPr>
    </w:p>
    <w:p w14:paraId="6B65AD19" w14:textId="790F2C26" w:rsidR="0090324D" w:rsidRPr="008F475B" w:rsidRDefault="0090324D" w:rsidP="006B349F">
      <w:pPr>
        <w:rPr>
          <w:szCs w:val="22"/>
        </w:rPr>
      </w:pPr>
      <w:r>
        <w:rPr>
          <w:szCs w:val="22"/>
        </w:rPr>
        <w:t xml:space="preserve">Yang </w:t>
      </w:r>
      <w:r w:rsidR="00947813">
        <w:rPr>
          <w:szCs w:val="22"/>
        </w:rPr>
        <w:t>LY,</w:t>
      </w:r>
      <w:r>
        <w:rPr>
          <w:szCs w:val="22"/>
        </w:rPr>
        <w:t xml:space="preserve"> Kuksis</w:t>
      </w:r>
      <w:r w:rsidR="00947813">
        <w:rPr>
          <w:szCs w:val="22"/>
        </w:rPr>
        <w:t xml:space="preserve"> A</w:t>
      </w:r>
      <w:r>
        <w:rPr>
          <w:szCs w:val="22"/>
        </w:rPr>
        <w:t xml:space="preserve"> (1991) Apparent convergence (at 2-monoacylglycerol level) of phosphatidic acid and 2-monoacylglycerol pathways of synthesis of chylomicron triacylglycerols. Journal of Lipid Research 32:1173-1186</w:t>
      </w:r>
    </w:p>
    <w:p w14:paraId="13A896BC" w14:textId="4E5D7A40" w:rsidR="006B349F" w:rsidRDefault="006B349F" w:rsidP="0042368D">
      <w:pPr>
        <w:rPr>
          <w:lang w:eastAsia="en-AU" w:bidi="ar-SA"/>
        </w:rPr>
      </w:pPr>
    </w:p>
    <w:p w14:paraId="2FDB148F" w14:textId="379952E1" w:rsidR="00060155" w:rsidRPr="008C2BD5" w:rsidRDefault="00060155">
      <w:pPr>
        <w:pStyle w:val="Heading1"/>
      </w:pPr>
      <w:r>
        <w:rPr>
          <w:lang w:eastAsia="en-AU"/>
        </w:rPr>
        <w:br w:type="column"/>
      </w:r>
      <w:bookmarkStart w:id="99" w:name="_Toc46487145"/>
      <w:bookmarkStart w:id="100" w:name="_Toc58251571"/>
      <w:bookmarkStart w:id="101" w:name="_Ref63247751"/>
      <w:r w:rsidRPr="009E1FF4">
        <w:lastRenderedPageBreak/>
        <w:t>Appendix</w:t>
      </w:r>
      <w:r w:rsidRPr="008C2BD5">
        <w:t xml:space="preserve"> </w:t>
      </w:r>
      <w:r w:rsidR="000F7930">
        <w:fldChar w:fldCharType="begin"/>
      </w:r>
      <w:r w:rsidR="000F7930">
        <w:instrText xml:space="preserve"> SEQ Appendix \* ARABIC </w:instrText>
      </w:r>
      <w:r w:rsidR="000F7930">
        <w:fldChar w:fldCharType="separate"/>
      </w:r>
      <w:r w:rsidR="00515ADA">
        <w:rPr>
          <w:noProof/>
        </w:rPr>
        <w:t>1</w:t>
      </w:r>
      <w:bookmarkEnd w:id="99"/>
      <w:bookmarkEnd w:id="100"/>
      <w:r w:rsidR="000F7930">
        <w:rPr>
          <w:noProof/>
        </w:rPr>
        <w:fldChar w:fldCharType="end"/>
      </w:r>
      <w:bookmarkEnd w:id="101"/>
    </w:p>
    <w:p w14:paraId="02B072FE" w14:textId="7331A93C" w:rsidR="00060155" w:rsidRPr="00A5677A" w:rsidRDefault="00A5677A">
      <w:pPr>
        <w:pStyle w:val="Heading2"/>
      </w:pPr>
      <w:bookmarkStart w:id="102" w:name="_Toc46487146"/>
      <w:bookmarkStart w:id="103" w:name="_Toc58251572"/>
      <w:r w:rsidRPr="00A5677A">
        <w:t>A</w:t>
      </w:r>
      <w:r>
        <w:t>1.1</w:t>
      </w:r>
      <w:r>
        <w:tab/>
      </w:r>
      <w:r w:rsidR="00060155" w:rsidRPr="00A5677A">
        <w:t>Dietary exposure assessments at FSANZ</w:t>
      </w:r>
      <w:bookmarkEnd w:id="102"/>
      <w:bookmarkEnd w:id="103"/>
      <w:r w:rsidR="00060155" w:rsidRPr="00A5677A">
        <w:t xml:space="preserve"> </w:t>
      </w:r>
    </w:p>
    <w:p w14:paraId="463820DD" w14:textId="77777777" w:rsidR="00060155" w:rsidRDefault="00060155" w:rsidP="00060155">
      <w:pPr>
        <w:rPr>
          <w:lang w:eastAsia="en-GB"/>
        </w:rPr>
      </w:pPr>
      <w:r w:rsidRPr="002D3F0A">
        <w:rPr>
          <w:lang w:eastAsia="en-GB"/>
        </w:rPr>
        <w:t xml:space="preserve">A dietary </w:t>
      </w:r>
      <w:r>
        <w:rPr>
          <w:lang w:eastAsia="en-GB"/>
        </w:rPr>
        <w:t xml:space="preserve">exposure </w:t>
      </w:r>
      <w:r w:rsidRPr="002D3F0A">
        <w:rPr>
          <w:lang w:eastAsia="en-GB"/>
        </w:rPr>
        <w:t xml:space="preserve">assessment is the process of estimating how much of a food chemical a population, or population sub group, consumes. Dietary </w:t>
      </w:r>
      <w:r>
        <w:rPr>
          <w:lang w:eastAsia="en-GB"/>
        </w:rPr>
        <w:t xml:space="preserve">exposure to </w:t>
      </w:r>
      <w:r w:rsidRPr="002D3F0A">
        <w:rPr>
          <w:lang w:eastAsia="en-GB"/>
        </w:rPr>
        <w:t>food chemicals is estimated by combining food consumption data with food chemical concentration data. T</w:t>
      </w:r>
      <w:r>
        <w:rPr>
          <w:lang w:eastAsia="en-GB"/>
        </w:rPr>
        <w:t>he process of doing</w:t>
      </w:r>
      <w:r w:rsidRPr="002D3F0A">
        <w:rPr>
          <w:lang w:eastAsia="en-GB"/>
        </w:rPr>
        <w:t xml:space="preserve"> this is called ‘dietary modelling’.</w:t>
      </w:r>
    </w:p>
    <w:p w14:paraId="725186AA" w14:textId="77777777" w:rsidR="00060155" w:rsidRDefault="00060155" w:rsidP="00060155">
      <w:pPr>
        <w:rPr>
          <w:i/>
          <w:lang w:eastAsia="en-GB"/>
        </w:rPr>
      </w:pPr>
    </w:p>
    <w:p w14:paraId="3CA82A6F" w14:textId="77777777" w:rsidR="00060155" w:rsidRPr="002D3F0A" w:rsidRDefault="00060155" w:rsidP="00060155">
      <w:pPr>
        <w:rPr>
          <w:i/>
          <w:lang w:eastAsia="en-GB"/>
        </w:rPr>
      </w:pPr>
      <w:r w:rsidRPr="002D3F0A">
        <w:rPr>
          <w:i/>
          <w:lang w:eastAsia="en-GB"/>
        </w:rPr>
        <w:t xml:space="preserve">Dietary </w:t>
      </w:r>
      <w:r>
        <w:rPr>
          <w:i/>
          <w:lang w:eastAsia="en-GB"/>
        </w:rPr>
        <w:t>exposure</w:t>
      </w:r>
      <w:r w:rsidRPr="002D3F0A">
        <w:rPr>
          <w:i/>
          <w:lang w:eastAsia="en-GB"/>
        </w:rPr>
        <w:t xml:space="preserve"> = food chemical concentration x food consumption</w:t>
      </w:r>
    </w:p>
    <w:p w14:paraId="1A70B5C6" w14:textId="77777777" w:rsidR="00060155" w:rsidRPr="00633236" w:rsidRDefault="00060155" w:rsidP="00060155">
      <w:pPr>
        <w:rPr>
          <w:rFonts w:ascii="Cambria Math" w:hAnsi="Cambria Math" w:cstheme="minorHAnsi"/>
          <w:sz w:val="24"/>
          <w:lang w:eastAsia="en-GB"/>
          <w:oMath/>
        </w:rPr>
      </w:pPr>
    </w:p>
    <w:p w14:paraId="70FA3169" w14:textId="561D9521" w:rsidR="00060155" w:rsidRPr="002D3F0A" w:rsidRDefault="00060155" w:rsidP="00060155">
      <w:pPr>
        <w:rPr>
          <w:lang w:eastAsia="en-GB"/>
        </w:rPr>
      </w:pPr>
      <w:r w:rsidRPr="002D3F0A">
        <w:rPr>
          <w:lang w:eastAsia="en-GB"/>
        </w:rPr>
        <w:t xml:space="preserve">FSANZ’s approach to dietary modelling is based on internationally accepted procedures for estimating dietary </w:t>
      </w:r>
      <w:r>
        <w:rPr>
          <w:lang w:eastAsia="en-GB"/>
        </w:rPr>
        <w:t>exposure to</w:t>
      </w:r>
      <w:r w:rsidRPr="002D3F0A">
        <w:rPr>
          <w:lang w:eastAsia="en-GB"/>
        </w:rPr>
        <w:t xml:space="preserve"> food chemicals. Different dietary modelling approaches may be used depending on the assessment, the type of food chemical, the data available and the risk assessment questions to be answered. In the majority of assessments</w:t>
      </w:r>
      <w:r>
        <w:rPr>
          <w:lang w:eastAsia="en-GB"/>
        </w:rPr>
        <w:t>,</w:t>
      </w:r>
      <w:r w:rsidRPr="002D3F0A">
        <w:rPr>
          <w:lang w:eastAsia="en-GB"/>
        </w:rPr>
        <w:t xml:space="preserve"> FSANZ uses the food consumption data from each person in the national nutrition surveys to estimate their individual dietary </w:t>
      </w:r>
      <w:r>
        <w:rPr>
          <w:lang w:eastAsia="en-GB"/>
        </w:rPr>
        <w:t>exposure</w:t>
      </w:r>
      <w:r w:rsidRPr="002D3F0A">
        <w:rPr>
          <w:lang w:eastAsia="en-GB"/>
        </w:rPr>
        <w:t xml:space="preserve">. Population summary statistics such as the mean </w:t>
      </w:r>
      <w:r>
        <w:rPr>
          <w:lang w:eastAsia="en-GB"/>
        </w:rPr>
        <w:t xml:space="preserve">exposure </w:t>
      </w:r>
      <w:r w:rsidRPr="002D3F0A">
        <w:rPr>
          <w:lang w:eastAsia="en-GB"/>
        </w:rPr>
        <w:t xml:space="preserve">or a high percentile </w:t>
      </w:r>
      <w:r>
        <w:rPr>
          <w:lang w:eastAsia="en-GB"/>
        </w:rPr>
        <w:t>exposure</w:t>
      </w:r>
      <w:r w:rsidRPr="002D3F0A">
        <w:rPr>
          <w:lang w:eastAsia="en-GB"/>
        </w:rPr>
        <w:t xml:space="preserve"> are derived from the ranked individual person’s </w:t>
      </w:r>
      <w:r>
        <w:rPr>
          <w:lang w:eastAsia="en-GB"/>
        </w:rPr>
        <w:t>exposures</w:t>
      </w:r>
      <w:r w:rsidRPr="002D3F0A">
        <w:rPr>
          <w:lang w:eastAsia="en-GB"/>
        </w:rPr>
        <w:t xml:space="preserve"> from the nutrition survey.</w:t>
      </w:r>
      <w:r>
        <w:rPr>
          <w:lang w:eastAsia="en-GB"/>
        </w:rPr>
        <w:t xml:space="preserve"> Summary consumption data are also derived from each respondents individual consumption amounts.</w:t>
      </w:r>
    </w:p>
    <w:p w14:paraId="49468A19" w14:textId="77777777" w:rsidR="00060155" w:rsidRPr="002D3F0A" w:rsidRDefault="00060155" w:rsidP="00060155"/>
    <w:p w14:paraId="76C71B87" w14:textId="5AA1B611" w:rsidR="00060155" w:rsidRDefault="00060155">
      <w:r w:rsidRPr="002D3F0A">
        <w:t xml:space="preserve">An </w:t>
      </w:r>
      <w:hyperlink r:id="rId52" w:history="1">
        <w:r w:rsidRPr="00BA6939">
          <w:rPr>
            <w:rStyle w:val="Hyperlink"/>
          </w:rPr>
          <w:t>overview of how dietary exposure assessments are conducted</w:t>
        </w:r>
      </w:hyperlink>
      <w:r w:rsidRPr="002D3F0A">
        <w:t xml:space="preserve"> and their place in the FSANZ Risk Analysis Process is provided on the FSANZ website</w:t>
      </w:r>
      <w:r w:rsidR="00BA6939">
        <w:t>.</w:t>
      </w:r>
    </w:p>
    <w:p w14:paraId="4F77FE42" w14:textId="77777777" w:rsidR="00060155" w:rsidRPr="002D3F0A" w:rsidRDefault="00060155" w:rsidP="00060155"/>
    <w:p w14:paraId="4961F953" w14:textId="77777777" w:rsidR="00060155" w:rsidRDefault="00060155" w:rsidP="00060155">
      <w:pPr>
        <w:rPr>
          <w:lang w:eastAsia="en-GB"/>
        </w:rPr>
      </w:pPr>
      <w:r w:rsidRPr="007157CF">
        <w:rPr>
          <w:lang w:eastAsia="en-GB"/>
        </w:rPr>
        <w:t xml:space="preserve">FSANZ has developed a custom-built computer program ‘Harvest’ to calculate dietary </w:t>
      </w:r>
      <w:r>
        <w:rPr>
          <w:lang w:eastAsia="en-GB"/>
        </w:rPr>
        <w:t>exposure</w:t>
      </w:r>
      <w:r w:rsidRPr="007157CF">
        <w:rPr>
          <w:lang w:eastAsia="en-GB"/>
        </w:rPr>
        <w:t xml:space="preserve">s. Harvest replaces the program ‘DIAMOND’ that </w:t>
      </w:r>
      <w:r>
        <w:rPr>
          <w:lang w:eastAsia="en-GB"/>
        </w:rPr>
        <w:t>had</w:t>
      </w:r>
      <w:r w:rsidRPr="007157CF">
        <w:rPr>
          <w:lang w:eastAsia="en-GB"/>
        </w:rPr>
        <w:t xml:space="preserve"> been used by FSANZ for many years.</w:t>
      </w:r>
      <w:r>
        <w:rPr>
          <w:lang w:eastAsia="en-GB"/>
        </w:rPr>
        <w:t xml:space="preserve"> Harvest has been designed to replicate the calculations that occurred within DIAMOND using a different software package.</w:t>
      </w:r>
    </w:p>
    <w:p w14:paraId="4EA6CCB4" w14:textId="77777777" w:rsidR="00060155" w:rsidRPr="007157CF" w:rsidRDefault="00060155" w:rsidP="00060155"/>
    <w:p w14:paraId="7007F047" w14:textId="5ED3339D" w:rsidR="00060155" w:rsidRPr="007157CF" w:rsidRDefault="00060155" w:rsidP="00060155">
      <w:r w:rsidRPr="007157CF">
        <w:t xml:space="preserve">Further detailed information on conducting dietary </w:t>
      </w:r>
      <w:r>
        <w:t>exposure</w:t>
      </w:r>
      <w:r w:rsidRPr="007157CF">
        <w:t xml:space="preserve"> assessments at FSANZ is provided in </w:t>
      </w:r>
      <w:hyperlink r:id="rId53" w:history="1">
        <w:r w:rsidRPr="00BA6939">
          <w:rPr>
            <w:rStyle w:val="Hyperlink"/>
            <w:i/>
          </w:rPr>
          <w:t>Principles and Practices of Dietary Exposure Assessment for Food Regulatory Purposes</w:t>
        </w:r>
      </w:hyperlink>
      <w:r w:rsidRPr="007157CF">
        <w:rPr>
          <w:i/>
        </w:rPr>
        <w:t xml:space="preserve"> </w:t>
      </w:r>
      <w:r w:rsidRPr="007157CF">
        <w:t>(FSANZ 2009</w:t>
      </w:r>
      <w:r w:rsidR="00BA6939">
        <w:t>).</w:t>
      </w:r>
    </w:p>
    <w:p w14:paraId="7B99BA4B" w14:textId="3028F1C9" w:rsidR="00060155" w:rsidRDefault="00060155" w:rsidP="00060155"/>
    <w:p w14:paraId="538CBBAB" w14:textId="13F2953E" w:rsidR="00060155" w:rsidRPr="00060155" w:rsidRDefault="00060155" w:rsidP="009E1FF4">
      <w:pPr>
        <w:pStyle w:val="Heading2"/>
      </w:pPr>
      <w:bookmarkStart w:id="104" w:name="_Toc46487147"/>
      <w:bookmarkStart w:id="105" w:name="_Toc58251573"/>
      <w:r w:rsidRPr="00060155">
        <w:t>A1.</w:t>
      </w:r>
      <w:r w:rsidR="00A5677A">
        <w:t>2</w:t>
      </w:r>
      <w:r w:rsidRPr="00060155">
        <w:tab/>
        <w:t>Food consumption data used</w:t>
      </w:r>
      <w:bookmarkEnd w:id="104"/>
      <w:bookmarkEnd w:id="105"/>
    </w:p>
    <w:p w14:paraId="31BE01E7" w14:textId="7BB88AD6" w:rsidR="00060155" w:rsidRPr="00A408DF" w:rsidRDefault="00060155" w:rsidP="00060155">
      <w:r w:rsidRPr="007157CF">
        <w:t xml:space="preserve">The most recent food consumption data available were used to estimate </w:t>
      </w:r>
      <w:r w:rsidR="00BC4673">
        <w:t xml:space="preserve">dietary </w:t>
      </w:r>
      <w:r>
        <w:t xml:space="preserve">exposures to </w:t>
      </w:r>
      <w:r w:rsidR="00907059">
        <w:t xml:space="preserve">mono- and diglycerides of fatty acids </w:t>
      </w:r>
      <w:r w:rsidRPr="007157CF">
        <w:t xml:space="preserve">for the Australian and New Zealand populations. The national nutrition survey </w:t>
      </w:r>
      <w:r w:rsidRPr="00A408DF">
        <w:t>(NNS) data used for these assessments were:</w:t>
      </w:r>
    </w:p>
    <w:p w14:paraId="615BD534" w14:textId="77777777" w:rsidR="00060155" w:rsidRPr="00A408DF" w:rsidRDefault="00060155" w:rsidP="00060155">
      <w:pPr>
        <w:pStyle w:val="FSBullet"/>
        <w:numPr>
          <w:ilvl w:val="0"/>
          <w:numId w:val="10"/>
        </w:numPr>
        <w:ind w:left="567" w:hanging="567"/>
      </w:pPr>
      <w:r w:rsidRPr="00A408DF">
        <w:t>The 2011-12 Australian National Nutrition and Physical Activity Survey (2011-</w:t>
      </w:r>
      <w:r w:rsidRPr="00A408DF">
        <w:lastRenderedPageBreak/>
        <w:t>12 NNPAS)</w:t>
      </w:r>
    </w:p>
    <w:p w14:paraId="1B0F2760" w14:textId="77777777" w:rsidR="00060155" w:rsidRPr="00A408DF" w:rsidRDefault="00060155" w:rsidP="00060155">
      <w:pPr>
        <w:pStyle w:val="FSBullet"/>
        <w:numPr>
          <w:ilvl w:val="0"/>
          <w:numId w:val="10"/>
        </w:numPr>
        <w:ind w:left="567" w:hanging="567"/>
      </w:pPr>
      <w:r w:rsidRPr="00A408DF">
        <w:t>The 2002 New Zealand National Children’s Nutrition Survey (2002 NZ</w:t>
      </w:r>
      <w:r>
        <w:t xml:space="preserve"> C</w:t>
      </w:r>
      <w:r w:rsidRPr="00A408DF">
        <w:t>NS)</w:t>
      </w:r>
    </w:p>
    <w:p w14:paraId="2F664E8A" w14:textId="4BD650AC" w:rsidR="00060155" w:rsidRPr="00A408DF" w:rsidRDefault="00060155" w:rsidP="00060155">
      <w:pPr>
        <w:pStyle w:val="FSBullet"/>
        <w:numPr>
          <w:ilvl w:val="0"/>
          <w:numId w:val="10"/>
        </w:numPr>
        <w:ind w:left="567" w:hanging="567"/>
      </w:pPr>
      <w:r w:rsidRPr="00A408DF">
        <w:t>The 2008</w:t>
      </w:r>
      <w:r>
        <w:t>-</w:t>
      </w:r>
      <w:r w:rsidRPr="00A408DF">
        <w:t>09 New Zealand Adult Nutrition Survey (2008 NZ</w:t>
      </w:r>
      <w:r>
        <w:t xml:space="preserve"> </w:t>
      </w:r>
      <w:r w:rsidRPr="00A408DF">
        <w:t>ANS)</w:t>
      </w:r>
    </w:p>
    <w:p w14:paraId="02DFD49C" w14:textId="77777777" w:rsidR="00060155" w:rsidRPr="00A408DF" w:rsidRDefault="00060155" w:rsidP="00060155"/>
    <w:p w14:paraId="5FEC1B4B" w14:textId="41A5D0C4" w:rsidR="00060155" w:rsidRPr="00BC4673" w:rsidRDefault="00060155" w:rsidP="00060155">
      <w:pPr>
        <w:rPr>
          <w:sz w:val="18"/>
          <w:szCs w:val="18"/>
          <w:lang w:val="en-AU" w:eastAsia="en-AU"/>
        </w:rPr>
      </w:pPr>
      <w:r w:rsidRPr="00A408DF">
        <w:t xml:space="preserve">The design of each of these surveys varies somewhat and key attributes of each are set out below. </w:t>
      </w:r>
      <w:r w:rsidRPr="00A408DF">
        <w:rPr>
          <w:lang w:val="en-AU" w:eastAsia="en-AU"/>
        </w:rPr>
        <w:t xml:space="preserve">Further information on the </w:t>
      </w:r>
      <w:hyperlink r:id="rId54" w:history="1">
        <w:r w:rsidRPr="00BA6939">
          <w:rPr>
            <w:rStyle w:val="Hyperlink"/>
            <w:lang w:val="en-AU" w:eastAsia="en-AU"/>
          </w:rPr>
          <w:t>National Nutrition Surveys</w:t>
        </w:r>
      </w:hyperlink>
      <w:r w:rsidRPr="00A408DF">
        <w:rPr>
          <w:lang w:val="en-AU" w:eastAsia="en-AU"/>
        </w:rPr>
        <w:t xml:space="preserve"> used to conduct dietary </w:t>
      </w:r>
      <w:r>
        <w:rPr>
          <w:lang w:val="en-AU" w:eastAsia="en-AU"/>
        </w:rPr>
        <w:t>exposure</w:t>
      </w:r>
      <w:r w:rsidRPr="00A408DF">
        <w:rPr>
          <w:lang w:val="en-AU" w:eastAsia="en-AU"/>
        </w:rPr>
        <w:t xml:space="preserve"> assessments is available on the FSANZ website</w:t>
      </w:r>
      <w:r w:rsidR="00BA6939">
        <w:rPr>
          <w:lang w:val="en-AU" w:eastAsia="en-AU"/>
        </w:rPr>
        <w:t>.</w:t>
      </w:r>
    </w:p>
    <w:p w14:paraId="7FDFF60B" w14:textId="3E63B5FD" w:rsidR="00060155" w:rsidRPr="00A5677A" w:rsidRDefault="00060155" w:rsidP="00A5677A">
      <w:pPr>
        <w:pStyle w:val="Heading3"/>
      </w:pPr>
      <w:bookmarkStart w:id="106" w:name="_Toc434566819"/>
      <w:bookmarkStart w:id="107" w:name="_Toc483902167"/>
      <w:bookmarkStart w:id="108" w:name="_Toc484004351"/>
      <w:bookmarkStart w:id="109" w:name="_Toc487190333"/>
      <w:bookmarkStart w:id="110" w:name="_Toc491169346"/>
      <w:bookmarkStart w:id="111" w:name="_Toc521330363"/>
      <w:bookmarkStart w:id="112" w:name="_Toc522276796"/>
      <w:bookmarkStart w:id="113" w:name="_Toc522780521"/>
      <w:bookmarkStart w:id="114" w:name="_Toc524342562"/>
      <w:bookmarkStart w:id="115" w:name="_Toc46487148"/>
      <w:bookmarkStart w:id="116" w:name="_Toc58251574"/>
      <w:r w:rsidRPr="00A5677A">
        <w:t>A1.</w:t>
      </w:r>
      <w:r w:rsidR="00A5677A">
        <w:t>2</w:t>
      </w:r>
      <w:r w:rsidRPr="00A5677A">
        <w:t>.1</w:t>
      </w:r>
      <w:r w:rsidRPr="00A5677A">
        <w:tab/>
        <w:t>2011–12 Australian National Nutrition and Physical Activity Survey (2011-12 NNPAS)</w:t>
      </w:r>
      <w:bookmarkEnd w:id="106"/>
      <w:bookmarkEnd w:id="107"/>
      <w:bookmarkEnd w:id="108"/>
      <w:bookmarkEnd w:id="109"/>
      <w:bookmarkEnd w:id="110"/>
      <w:bookmarkEnd w:id="111"/>
      <w:bookmarkEnd w:id="112"/>
      <w:bookmarkEnd w:id="113"/>
      <w:bookmarkEnd w:id="114"/>
      <w:bookmarkEnd w:id="115"/>
      <w:bookmarkEnd w:id="116"/>
    </w:p>
    <w:p w14:paraId="4DEF071F" w14:textId="65A46F13" w:rsidR="00060155" w:rsidRDefault="00060155" w:rsidP="00060155">
      <w:r w:rsidRPr="00633236">
        <w:t xml:space="preserve">The 2011–12 Australian National Nutrition and Physical Activity Survey (NNPAS) undertaken by the Australian Bureau of Statistics is the most recent food consumption data for Australia. This survey includes dietary patterns of a sample of 12,153 Australians aged 2 years and above. The survey used a 24-hour recall method for all respondents, with 64% of respondents also completing a second 24-hour recall on a second, non-consecutive day. The collection dates of the data were May 2011 to </w:t>
      </w:r>
      <w:r w:rsidRPr="00E145BE">
        <w:t>June 2012 (with no enumeration between August and September 2011 due to the Census)</w:t>
      </w:r>
      <w:r w:rsidRPr="00E145BE">
        <w:rPr>
          <w:lang w:eastAsia="en-AU"/>
        </w:rPr>
        <w:t>.</w:t>
      </w:r>
      <w:r w:rsidRPr="00955A69">
        <w:rPr>
          <w:lang w:val="en-AU" w:eastAsia="en-AU"/>
        </w:rPr>
        <w:t xml:space="preserve"> </w:t>
      </w:r>
      <w:r w:rsidRPr="001D2C27">
        <w:rPr>
          <w:lang w:val="en-AU" w:eastAsia="en-AU"/>
        </w:rPr>
        <w:t>Only the Day 1 24-hour recall data for all respondents (excluding supplements) were used for this assessment</w:t>
      </w:r>
      <w:r>
        <w:rPr>
          <w:lang w:val="en-AU" w:eastAsia="en-AU"/>
        </w:rPr>
        <w:t>.</w:t>
      </w:r>
      <w:r w:rsidRPr="00E145BE">
        <w:rPr>
          <w:lang w:eastAsia="en-AU"/>
        </w:rPr>
        <w:t xml:space="preserve"> </w:t>
      </w:r>
      <w:r w:rsidRPr="00E145BE">
        <w:t xml:space="preserve">Consumption and respondent data from the </w:t>
      </w:r>
      <w:r w:rsidRPr="00E145BE">
        <w:rPr>
          <w:i/>
        </w:rPr>
        <w:t>Confidentialised Unit Record File</w:t>
      </w:r>
      <w:r w:rsidRPr="00E145BE">
        <w:t>s (CURF)</w:t>
      </w:r>
      <w:r>
        <w:t xml:space="preserve"> data </w:t>
      </w:r>
      <w:r w:rsidRPr="00836D1C">
        <w:t xml:space="preserve">set </w:t>
      </w:r>
      <w:r w:rsidR="00836D1C" w:rsidRPr="00836D1C">
        <w:t>(ABS 2015)</w:t>
      </w:r>
      <w:r w:rsidRPr="00836D1C">
        <w:t xml:space="preserve"> </w:t>
      </w:r>
      <w:r w:rsidRPr="00633236">
        <w:t xml:space="preserve">form part of the Harvest core data set. </w:t>
      </w:r>
      <w:r>
        <w:t>These data were used weighted in Harvest.</w:t>
      </w:r>
    </w:p>
    <w:p w14:paraId="65F1054E" w14:textId="6C84D978" w:rsidR="00060155" w:rsidRPr="00633236" w:rsidRDefault="00060155" w:rsidP="00A5677A">
      <w:pPr>
        <w:pStyle w:val="Heading3"/>
      </w:pPr>
      <w:bookmarkStart w:id="117" w:name="_Toc238553772"/>
      <w:bookmarkStart w:id="118" w:name="_Toc415041939"/>
      <w:bookmarkStart w:id="119" w:name="_Toc415041940"/>
      <w:bookmarkStart w:id="120" w:name="_Toc483902168"/>
      <w:bookmarkStart w:id="121" w:name="_Toc484004352"/>
      <w:bookmarkStart w:id="122" w:name="_Toc487190334"/>
      <w:bookmarkStart w:id="123" w:name="_Toc491169347"/>
      <w:bookmarkStart w:id="124" w:name="_Toc521330364"/>
      <w:bookmarkStart w:id="125" w:name="_Toc522276797"/>
      <w:bookmarkStart w:id="126" w:name="_Toc522780522"/>
      <w:bookmarkStart w:id="127" w:name="_Toc524342563"/>
      <w:bookmarkStart w:id="128" w:name="_Toc46487149"/>
      <w:bookmarkStart w:id="129" w:name="_Toc58251575"/>
      <w:bookmarkEnd w:id="117"/>
      <w:bookmarkEnd w:id="118"/>
      <w:r>
        <w:t>A1.</w:t>
      </w:r>
      <w:r w:rsidR="00A5677A">
        <w:t>2</w:t>
      </w:r>
      <w:r>
        <w:t>.2</w:t>
      </w:r>
      <w:r>
        <w:tab/>
      </w:r>
      <w:r w:rsidRPr="00633236">
        <w:t>2002 New Zealand National Children’s Nutrition Survey (2002 NZ CNS)</w:t>
      </w:r>
      <w:bookmarkEnd w:id="119"/>
      <w:bookmarkEnd w:id="120"/>
      <w:bookmarkEnd w:id="121"/>
      <w:bookmarkEnd w:id="122"/>
      <w:bookmarkEnd w:id="123"/>
      <w:bookmarkEnd w:id="124"/>
      <w:bookmarkEnd w:id="125"/>
      <w:bookmarkEnd w:id="126"/>
      <w:bookmarkEnd w:id="127"/>
      <w:bookmarkEnd w:id="128"/>
      <w:bookmarkEnd w:id="129"/>
    </w:p>
    <w:p w14:paraId="6A656164" w14:textId="1146B9AF" w:rsidR="00060155" w:rsidRDefault="00060155" w:rsidP="00060155">
      <w:r w:rsidRPr="00633236">
        <w:t xml:space="preserve">The 2002 NZ CNS was a cross-sectional and </w:t>
      </w:r>
      <w:r w:rsidRPr="00633236">
        <w:rPr>
          <w:rFonts w:cs="Arial"/>
        </w:rPr>
        <w:t xml:space="preserve">nationally representative </w:t>
      </w:r>
      <w:r w:rsidRPr="00633236">
        <w:t xml:space="preserve">survey of </w:t>
      </w:r>
      <w:r w:rsidRPr="00633236">
        <w:rPr>
          <w:rFonts w:cs="Arial"/>
        </w:rPr>
        <w:t xml:space="preserve">3,275 </w:t>
      </w:r>
      <w:r w:rsidRPr="00633236">
        <w:t xml:space="preserve">New Zealand children </w:t>
      </w:r>
      <w:r w:rsidRPr="00633236">
        <w:rPr>
          <w:rFonts w:cs="Arial"/>
        </w:rPr>
        <w:t>aged 5-14 years.</w:t>
      </w:r>
      <w:r w:rsidRPr="00633236">
        <w:t xml:space="preserve"> The collection period for the data was </w:t>
      </w:r>
      <w:r w:rsidRPr="00633236">
        <w:rPr>
          <w:rFonts w:cs="Arial"/>
        </w:rPr>
        <w:t xml:space="preserve">during the school year from February to December 2002. The survey used a 24-hour food recall and </w:t>
      </w:r>
      <w:r w:rsidRPr="00633236">
        <w:t xml:space="preserve">provided information on food and nutrient intakes, eating patterns, frequently eaten foods, </w:t>
      </w:r>
      <w:r w:rsidRPr="00633236">
        <w:rPr>
          <w:rFonts w:cs="Arial"/>
        </w:rPr>
        <w:t>physical activity patterns, dental health, anthropometric measures and nutrition-related clinical measures.</w:t>
      </w:r>
      <w:r w:rsidRPr="00633236">
        <w:t xml:space="preserve"> It was also the first children’s nutrition survey in New Zealand to include a second day diet recall data for about 15% of the respondents, and dietary intake from both foods (including beverages) and di</w:t>
      </w:r>
      <w:r>
        <w:t>etary supplements</w:t>
      </w:r>
      <w:r w:rsidRPr="00C90132">
        <w:rPr>
          <w:lang w:eastAsia="en-AU"/>
        </w:rPr>
        <w:t xml:space="preserve"> </w:t>
      </w:r>
      <w:r>
        <w:rPr>
          <w:lang w:eastAsia="en-AU"/>
        </w:rPr>
        <w:t>(Ministry of Health 2005).</w:t>
      </w:r>
      <w:r w:rsidRPr="00633236">
        <w:t xml:space="preserve"> </w:t>
      </w:r>
      <w:r w:rsidRPr="001D2C27">
        <w:rPr>
          <w:lang w:val="en-AU" w:eastAsia="en-AU"/>
        </w:rPr>
        <w:t xml:space="preserve">Only the Day 1 24-hour recall data for all respondents (excluding supplements) were used for this assessment. </w:t>
      </w:r>
      <w:r w:rsidRPr="001D2C27">
        <w:t>These data are used weighted in Harvest.</w:t>
      </w:r>
      <w:r>
        <w:t xml:space="preserve"> </w:t>
      </w:r>
    </w:p>
    <w:p w14:paraId="4E563449" w14:textId="0D20BAC4" w:rsidR="00060155" w:rsidRPr="00633236" w:rsidRDefault="00060155" w:rsidP="00060155">
      <w:pPr>
        <w:pStyle w:val="Heading3"/>
      </w:pPr>
      <w:bookmarkStart w:id="130" w:name="_Toc415041941"/>
      <w:bookmarkStart w:id="131" w:name="_Toc483902169"/>
      <w:bookmarkStart w:id="132" w:name="_Toc484004353"/>
      <w:bookmarkStart w:id="133" w:name="_Toc487190335"/>
      <w:bookmarkStart w:id="134" w:name="_Toc491169348"/>
      <w:bookmarkStart w:id="135" w:name="_Toc521330365"/>
      <w:bookmarkStart w:id="136" w:name="_Toc522276798"/>
      <w:bookmarkStart w:id="137" w:name="_Toc522780523"/>
      <w:bookmarkStart w:id="138" w:name="_Toc524342564"/>
      <w:bookmarkStart w:id="139" w:name="_Toc46487150"/>
      <w:bookmarkStart w:id="140" w:name="_Toc58251576"/>
      <w:r>
        <w:t>A1.</w:t>
      </w:r>
      <w:r w:rsidR="00A5677A">
        <w:t>2</w:t>
      </w:r>
      <w:r>
        <w:t>.3</w:t>
      </w:r>
      <w:r>
        <w:tab/>
      </w:r>
      <w:r w:rsidRPr="00633236">
        <w:t>2008</w:t>
      </w:r>
      <w:r>
        <w:t>-</w:t>
      </w:r>
      <w:r w:rsidRPr="00633236">
        <w:t>09 New Zealand Adult Nutrition Survey (2008 NZ</w:t>
      </w:r>
      <w:r>
        <w:t xml:space="preserve"> </w:t>
      </w:r>
      <w:r w:rsidRPr="00633236">
        <w:t>ANS)</w:t>
      </w:r>
      <w:bookmarkEnd w:id="130"/>
      <w:bookmarkEnd w:id="131"/>
      <w:bookmarkEnd w:id="132"/>
      <w:bookmarkEnd w:id="133"/>
      <w:bookmarkEnd w:id="134"/>
      <w:bookmarkEnd w:id="135"/>
      <w:bookmarkEnd w:id="136"/>
      <w:bookmarkEnd w:id="137"/>
      <w:bookmarkEnd w:id="138"/>
      <w:bookmarkEnd w:id="139"/>
      <w:bookmarkEnd w:id="140"/>
    </w:p>
    <w:p w14:paraId="5C20B121" w14:textId="10A7B9EE" w:rsidR="00060155" w:rsidRDefault="00060155" w:rsidP="00060155">
      <w:pPr>
        <w:rPr>
          <w:lang w:val="en-AU" w:eastAsia="en-AU"/>
        </w:rPr>
      </w:pPr>
      <w:r w:rsidRPr="00633236">
        <w:rPr>
          <w:lang w:eastAsia="en-AU"/>
        </w:rPr>
        <w:t xml:space="preserve">The 2008 NZ ANS provides comprehensive information on the dietary patterns of a sample of 4,721 respondents aged 15 years and above. Collection of </w:t>
      </w:r>
      <w:r>
        <w:rPr>
          <w:lang w:eastAsia="en-AU"/>
        </w:rPr>
        <w:t>d</w:t>
      </w:r>
      <w:r w:rsidRPr="00633236">
        <w:rPr>
          <w:lang w:eastAsia="en-AU"/>
        </w:rPr>
        <w:t>ata for the survey occurred on a stratified sample over a 12-month period b</w:t>
      </w:r>
      <w:r>
        <w:rPr>
          <w:lang w:eastAsia="en-AU"/>
        </w:rPr>
        <w:t>etween</w:t>
      </w:r>
      <w:r w:rsidRPr="00633236">
        <w:rPr>
          <w:lang w:eastAsia="en-AU"/>
        </w:rPr>
        <w:t xml:space="preserve"> October </w:t>
      </w:r>
      <w:r w:rsidRPr="00633236">
        <w:rPr>
          <w:lang w:eastAsia="en-AU"/>
        </w:rPr>
        <w:lastRenderedPageBreak/>
        <w:t>2008</w:t>
      </w:r>
      <w:r w:rsidRPr="00633236">
        <w:rPr>
          <w:lang w:eastAsia="en-AU"/>
        </w:rPr>
        <w:noBreakHyphen/>
        <w:t>October 2009. The survey used a 24-hour recall methodology with 25% of respondents also completing a second 24-hour recall.</w:t>
      </w:r>
      <w:r w:rsidRPr="00633236">
        <w:rPr>
          <w:rFonts w:cs="Arial"/>
        </w:rPr>
        <w:t xml:space="preserve"> The information collected in the 2008 NZ</w:t>
      </w:r>
      <w:r>
        <w:rPr>
          <w:rFonts w:cs="Arial"/>
        </w:rPr>
        <w:t xml:space="preserve"> </w:t>
      </w:r>
      <w:r w:rsidRPr="00633236">
        <w:rPr>
          <w:rFonts w:cs="Arial"/>
        </w:rPr>
        <w:t xml:space="preserve">ANS </w:t>
      </w:r>
      <w:r w:rsidRPr="00633236">
        <w:t>included food and nutrient intakes, dietary supplement use, socio-demographics, nutrition related health, and</w:t>
      </w:r>
      <w:r w:rsidRPr="00633236">
        <w:rPr>
          <w:rFonts w:cs="Arial"/>
        </w:rPr>
        <w:t xml:space="preserve"> anthropo</w:t>
      </w:r>
      <w:r>
        <w:rPr>
          <w:rFonts w:cs="Arial"/>
        </w:rPr>
        <w:t>metric measures</w:t>
      </w:r>
      <w:r w:rsidRPr="00C90132">
        <w:t xml:space="preserve"> </w:t>
      </w:r>
      <w:r w:rsidR="00F17C8F">
        <w:t>(Ministry of Health 2011 a,b).</w:t>
      </w:r>
      <w:r w:rsidRPr="00633236">
        <w:t xml:space="preserve"> </w:t>
      </w:r>
      <w:r w:rsidRPr="007949D2">
        <w:rPr>
          <w:lang w:val="en-AU" w:eastAsia="en-AU"/>
        </w:rPr>
        <w:t>Only the Day 1 24-hour recall data for all respondents</w:t>
      </w:r>
      <w:r>
        <w:rPr>
          <w:lang w:val="en-AU" w:eastAsia="en-AU"/>
        </w:rPr>
        <w:t xml:space="preserve"> (excluding supplements)</w:t>
      </w:r>
      <w:r w:rsidRPr="007949D2">
        <w:rPr>
          <w:lang w:val="en-AU" w:eastAsia="en-AU"/>
        </w:rPr>
        <w:t xml:space="preserve"> were used for this assessment. These data are used weighted in Harvest.</w:t>
      </w:r>
    </w:p>
    <w:p w14:paraId="31EDFB61" w14:textId="77777777" w:rsidR="008365B6" w:rsidRDefault="008365B6" w:rsidP="00060155">
      <w:pPr>
        <w:rPr>
          <w:lang w:val="en-AU" w:eastAsia="en-AU"/>
        </w:rPr>
      </w:pPr>
    </w:p>
    <w:p w14:paraId="1F08AD11" w14:textId="551C70E1" w:rsidR="00060155" w:rsidRPr="00060155" w:rsidRDefault="00060155" w:rsidP="005F4FEF">
      <w:pPr>
        <w:pStyle w:val="Heading2"/>
      </w:pPr>
      <w:bookmarkStart w:id="141" w:name="_Toc521330356"/>
      <w:bookmarkStart w:id="142" w:name="_Toc522276789"/>
      <w:bookmarkStart w:id="143" w:name="_Toc522780514"/>
      <w:bookmarkStart w:id="144" w:name="_Toc524342555"/>
      <w:bookmarkStart w:id="145" w:name="_Toc46487151"/>
      <w:bookmarkStart w:id="146" w:name="_Toc58251577"/>
      <w:r w:rsidRPr="00060155">
        <w:t>A1.</w:t>
      </w:r>
      <w:r w:rsidR="00A5677A">
        <w:t>3</w:t>
      </w:r>
      <w:r w:rsidR="00A5677A">
        <w:tab/>
      </w:r>
      <w:r w:rsidRPr="00060155">
        <w:t>Assumptions and limitations of the dietary exposure assessment</w:t>
      </w:r>
      <w:bookmarkEnd w:id="141"/>
      <w:bookmarkEnd w:id="142"/>
      <w:bookmarkEnd w:id="143"/>
      <w:bookmarkEnd w:id="144"/>
      <w:bookmarkEnd w:id="145"/>
      <w:bookmarkEnd w:id="146"/>
      <w:r w:rsidRPr="00060155">
        <w:t xml:space="preserve"> </w:t>
      </w:r>
    </w:p>
    <w:p w14:paraId="0BEE8C34" w14:textId="77777777" w:rsidR="00060155" w:rsidRDefault="00060155" w:rsidP="00060155">
      <w:pPr>
        <w:keepLines/>
      </w:pPr>
      <w:r w:rsidRPr="00633236">
        <w:t>Assump</w:t>
      </w:r>
      <w:r>
        <w:t>tions made in the dietary exposure assessment include</w:t>
      </w:r>
      <w:r w:rsidRPr="00633236">
        <w:t>:</w:t>
      </w:r>
    </w:p>
    <w:p w14:paraId="59856F7F" w14:textId="5A85B5EE" w:rsidR="00060155" w:rsidRDefault="00060155" w:rsidP="00060155">
      <w:pPr>
        <w:pStyle w:val="ListParagraph"/>
        <w:widowControl/>
        <w:numPr>
          <w:ilvl w:val="0"/>
          <w:numId w:val="11"/>
        </w:numPr>
      </w:pPr>
      <w:r>
        <w:t>All foods included in the Australian survey food groups (fruit products and dishes, vegetable products and dishes</w:t>
      </w:r>
      <w:r w:rsidR="00BC4673">
        <w:t>,</w:t>
      </w:r>
      <w:r>
        <w:t xml:space="preserve"> seed and nut products and dishes) and New Zealand survey food groups (fruit, nuts and seeds, vegetables, potatoes, kumara and taro), are glazed with </w:t>
      </w:r>
      <w:r w:rsidR="00907059">
        <w:t>mono- and diglycerides of fatty acids</w:t>
      </w:r>
      <w:r>
        <w:t>, including foods that are peeled before consumption.</w:t>
      </w:r>
    </w:p>
    <w:p w14:paraId="6F133559" w14:textId="7AEEE5B4" w:rsidR="00060155" w:rsidRDefault="00060155" w:rsidP="00060155">
      <w:pPr>
        <w:pStyle w:val="ListParagraph"/>
        <w:widowControl/>
        <w:numPr>
          <w:ilvl w:val="0"/>
          <w:numId w:val="11"/>
        </w:numPr>
      </w:pPr>
      <w:r>
        <w:t xml:space="preserve">All foods are glazed with </w:t>
      </w:r>
      <w:r w:rsidR="00907059">
        <w:t xml:space="preserve">mono- and diglycerides of fatty acids </w:t>
      </w:r>
      <w:r>
        <w:t>at the most conservative proposed maximum use level as indicated by the applicant of 152 g/100 kg produce.</w:t>
      </w:r>
    </w:p>
    <w:p w14:paraId="4EF28BD8" w14:textId="77777777" w:rsidR="00060155" w:rsidRDefault="00060155" w:rsidP="00060155"/>
    <w:p w14:paraId="104F420A" w14:textId="0F11D4F6" w:rsidR="00BF6127" w:rsidRDefault="00060155" w:rsidP="005F4FEF">
      <w:pPr>
        <w:rPr>
          <w:lang w:eastAsia="en-AU"/>
        </w:rPr>
      </w:pPr>
      <w:r>
        <w:t xml:space="preserve">Dietary exposure assessments based on 2011-12 NNPAS, 2002 NZ CNS and 2008 NZ ANS food consumption data provide the best estimation of actual consumption of a food and the resulting estimated dietary exposure assessment for the Australian population aged 2 years and above, as well as the New Zealand populations aged 5–14 years and 15 years and above, respectively. However, it should be noted that NNS data do have limitations. Further details of the limitations relating to dietary exposure assessments undertaken by FSANZ are set out in the FSANZ document, </w:t>
      </w:r>
      <w:r>
        <w:rPr>
          <w:i/>
        </w:rPr>
        <w:t>Principles and Practices of Dietary Exposure Assessment for Food Regulatory Purposes</w:t>
      </w:r>
      <w:r>
        <w:t xml:space="preserve"> (FSANZ 2009).</w:t>
      </w:r>
    </w:p>
    <w:sectPr w:rsidR="00BF6127" w:rsidSect="00DF2644">
      <w:pgSz w:w="11906" w:h="16838"/>
      <w:pgMar w:top="1418" w:right="1418" w:bottom="1276" w:left="1418" w:header="709"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E7F5B" w14:textId="77777777" w:rsidR="006410FB" w:rsidRDefault="006410FB">
      <w:r>
        <w:separator/>
      </w:r>
    </w:p>
  </w:endnote>
  <w:endnote w:type="continuationSeparator" w:id="0">
    <w:p w14:paraId="799101E1" w14:textId="77777777" w:rsidR="006410FB" w:rsidRDefault="006410FB">
      <w:r>
        <w:continuationSeparator/>
      </w:r>
    </w:p>
  </w:endnote>
  <w:endnote w:type="continuationNotice" w:id="1">
    <w:p w14:paraId="266F1B64" w14:textId="77777777" w:rsidR="006410FB" w:rsidRDefault="00641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679F2772" w:rsidR="006410FB" w:rsidRDefault="006410FB" w:rsidP="004708E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6410FB" w:rsidRDefault="006410FB" w:rsidP="0025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7E182AEB" w:rsidR="006410FB" w:rsidRDefault="00DF2644" w:rsidP="00060155">
    <w:pPr>
      <w:pStyle w:val="Footer"/>
      <w:framePr w:wrap="around" w:vAnchor="text" w:hAnchor="margin" w:xAlign="center" w:y="1"/>
      <w:jc w:val="center"/>
      <w:rPr>
        <w:rStyle w:val="PageNumber"/>
      </w:rPr>
    </w:pPr>
    <w:r w:rsidRPr="00DF2644">
      <w:rPr>
        <w:rStyle w:val="PageNumber"/>
      </w:rPr>
      <w:t xml:space="preserve">Page </w:t>
    </w:r>
    <w:r w:rsidRPr="00DF2644">
      <w:rPr>
        <w:rStyle w:val="PageNumber"/>
        <w:b/>
        <w:bCs/>
      </w:rPr>
      <w:fldChar w:fldCharType="begin"/>
    </w:r>
    <w:r w:rsidRPr="00DF2644">
      <w:rPr>
        <w:rStyle w:val="PageNumber"/>
        <w:b/>
        <w:bCs/>
      </w:rPr>
      <w:instrText xml:space="preserve"> PAGE  \* Arabic  \* MERGEFORMAT </w:instrText>
    </w:r>
    <w:r w:rsidRPr="00DF2644">
      <w:rPr>
        <w:rStyle w:val="PageNumber"/>
        <w:b/>
        <w:bCs/>
      </w:rPr>
      <w:fldChar w:fldCharType="separate"/>
    </w:r>
    <w:r w:rsidR="000F7930">
      <w:rPr>
        <w:rStyle w:val="PageNumber"/>
        <w:b/>
        <w:bCs/>
        <w:noProof/>
      </w:rPr>
      <w:t>1</w:t>
    </w:r>
    <w:r w:rsidRPr="00DF2644">
      <w:rPr>
        <w:rStyle w:val="PageNumber"/>
        <w:b/>
        <w:bCs/>
      </w:rPr>
      <w:fldChar w:fldCharType="end"/>
    </w:r>
    <w:r w:rsidRPr="00DF2644">
      <w:rPr>
        <w:rStyle w:val="PageNumber"/>
      </w:rPr>
      <w:t xml:space="preserve"> of </w:t>
    </w:r>
    <w:r w:rsidRPr="00DF2644">
      <w:rPr>
        <w:rStyle w:val="PageNumber"/>
        <w:b/>
        <w:bCs/>
      </w:rPr>
      <w:fldChar w:fldCharType="begin"/>
    </w:r>
    <w:r w:rsidRPr="00DF2644">
      <w:rPr>
        <w:rStyle w:val="PageNumber"/>
        <w:b/>
        <w:bCs/>
      </w:rPr>
      <w:instrText xml:space="preserve"> NUMPAGES  \* Arabic  \* MERGEFORMAT </w:instrText>
    </w:r>
    <w:r w:rsidRPr="00DF2644">
      <w:rPr>
        <w:rStyle w:val="PageNumber"/>
        <w:b/>
        <w:bCs/>
      </w:rPr>
      <w:fldChar w:fldCharType="separate"/>
    </w:r>
    <w:r w:rsidR="000F7930">
      <w:rPr>
        <w:rStyle w:val="PageNumber"/>
        <w:b/>
        <w:bCs/>
        <w:noProof/>
      </w:rPr>
      <w:t>28</w:t>
    </w:r>
    <w:r w:rsidRPr="00DF2644">
      <w:rPr>
        <w:rStyle w:val="PageNumber"/>
        <w:b/>
        <w:bCs/>
      </w:rPr>
      <w:fldChar w:fldCharType="end"/>
    </w:r>
  </w:p>
  <w:p w14:paraId="7C4636D5" w14:textId="77777777" w:rsidR="006410FB" w:rsidRDefault="006410FB" w:rsidP="0025215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FA45" w14:textId="26E59E24" w:rsidR="006410FB" w:rsidRPr="00252159" w:rsidRDefault="006410FB" w:rsidP="002521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32C7" w14:textId="33DC8180" w:rsidR="006410FB" w:rsidRPr="00252159" w:rsidRDefault="006410FB" w:rsidP="0025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8AD1" w14:textId="77777777" w:rsidR="006410FB" w:rsidRDefault="006410FB">
      <w:r>
        <w:separator/>
      </w:r>
    </w:p>
  </w:footnote>
  <w:footnote w:type="continuationSeparator" w:id="0">
    <w:p w14:paraId="19D6AFAE" w14:textId="77777777" w:rsidR="006410FB" w:rsidRDefault="006410FB">
      <w:r>
        <w:continuationSeparator/>
      </w:r>
    </w:p>
  </w:footnote>
  <w:footnote w:type="continuationNotice" w:id="1">
    <w:p w14:paraId="171DDBAD" w14:textId="77777777" w:rsidR="006410FB" w:rsidRDefault="006410FB"/>
  </w:footnote>
  <w:footnote w:id="2">
    <w:p w14:paraId="016BEB21" w14:textId="31C15ADD" w:rsidR="006410FB" w:rsidRPr="00721624" w:rsidRDefault="006410FB">
      <w:pPr>
        <w:pStyle w:val="FootnoteText"/>
        <w:rPr>
          <w:lang w:val="en-AU"/>
        </w:rPr>
      </w:pPr>
      <w:r>
        <w:rPr>
          <w:rStyle w:val="FootnoteReference"/>
        </w:rPr>
        <w:footnoteRef/>
      </w:r>
      <w:r>
        <w:t xml:space="preserve"> </w:t>
      </w:r>
      <w:r>
        <w:rPr>
          <w:lang w:val="en-AU"/>
        </w:rPr>
        <w:t>Chemical Abstract Services number</w:t>
      </w:r>
    </w:p>
  </w:footnote>
  <w:footnote w:id="3">
    <w:p w14:paraId="14D1FF6E" w14:textId="5B37EECD" w:rsidR="006410FB" w:rsidRPr="00EA4117" w:rsidRDefault="006410FB">
      <w:pPr>
        <w:pStyle w:val="FootnoteText"/>
        <w:rPr>
          <w:lang w:val="en-AU"/>
        </w:rPr>
      </w:pPr>
      <w:r>
        <w:rPr>
          <w:rStyle w:val="FootnoteReference"/>
        </w:rPr>
        <w:footnoteRef/>
      </w:r>
      <w:r>
        <w:t xml:space="preserve"> </w:t>
      </w:r>
      <w:r>
        <w:rPr>
          <w:lang w:val="en-AU"/>
        </w:rPr>
        <w:t>The acid value is the defined as the amount of potassium hydroxide in mg required to neutralise 1 gm of the substance (usually a fat or oil). It is a measure of the carboxylic acid groups in a fatty acid or blend of fatty acids.</w:t>
      </w:r>
    </w:p>
  </w:footnote>
  <w:footnote w:id="4">
    <w:p w14:paraId="73B582FF" w14:textId="034C9DA3" w:rsidR="006410FB" w:rsidRPr="000450F4" w:rsidRDefault="006410FB">
      <w:pPr>
        <w:pStyle w:val="FootnoteText"/>
        <w:rPr>
          <w:lang w:val="en-AU"/>
        </w:rPr>
      </w:pPr>
      <w:r>
        <w:rPr>
          <w:rStyle w:val="FootnoteReference"/>
        </w:rPr>
        <w:footnoteRef/>
      </w:r>
      <w:r>
        <w:t xml:space="preserve"> </w:t>
      </w:r>
      <w:r>
        <w:rPr>
          <w:lang w:val="en-AU"/>
        </w:rPr>
        <w:t xml:space="preserve">Proposal P1031 – Allergen Labelling Exemptions, </w:t>
      </w:r>
      <w:hyperlink r:id="rId1" w:history="1">
        <w:r w:rsidRPr="00A76DDF">
          <w:rPr>
            <w:rStyle w:val="Hyperlink"/>
            <w:lang w:val="en-AU"/>
          </w:rPr>
          <w:t>https://www.foodstandards.gov.au/code/proposals/Pages/P1031Allergenlabellingexemptions.aspx</w:t>
        </w:r>
      </w:hyperlink>
      <w:r>
        <w:rPr>
          <w:lang w:val="en-AU"/>
        </w:rPr>
        <w:t xml:space="preserve"> </w:t>
      </w:r>
    </w:p>
  </w:footnote>
  <w:footnote w:id="5">
    <w:p w14:paraId="5803ED99" w14:textId="77777777" w:rsidR="006410FB" w:rsidRPr="002774C9" w:rsidRDefault="006410FB" w:rsidP="00060155">
      <w:pPr>
        <w:pStyle w:val="FootnoteText"/>
        <w:rPr>
          <w:lang w:val="en-AU"/>
        </w:rPr>
      </w:pPr>
      <w:r>
        <w:rPr>
          <w:rStyle w:val="FootnoteReference"/>
        </w:rPr>
        <w:footnoteRef/>
      </w:r>
      <w:r>
        <w:t xml:space="preserve"> </w:t>
      </w:r>
      <w:r w:rsidRPr="002774C9">
        <w:t>Harvest is FSANZ’s custom-built dietary modelling program that replaced the previous</w:t>
      </w:r>
      <w:r>
        <w:rPr>
          <w:sz w:val="22"/>
          <w:szCs w:val="22"/>
        </w:rPr>
        <w:t xml:space="preserve"> program, </w:t>
      </w:r>
      <w:r w:rsidRPr="002774C9">
        <w:t>DIAMOND, which does the same calculations just using a different software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060C98F5" w:rsidR="006410FB" w:rsidRDefault="006410FB">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02A5" w14:textId="214D6214" w:rsidR="006410FB" w:rsidRPr="00252159" w:rsidRDefault="006410FB" w:rsidP="0025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D736" w14:textId="58A991C8" w:rsidR="006410FB" w:rsidRPr="00252159" w:rsidRDefault="006410FB" w:rsidP="002521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CAF5" w14:textId="248845AC" w:rsidR="006410FB" w:rsidRPr="00252159" w:rsidRDefault="006410FB" w:rsidP="0025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6B17A0"/>
    <w:multiLevelType w:val="multilevel"/>
    <w:tmpl w:val="11845A24"/>
    <w:lvl w:ilvl="0">
      <w:start w:val="1"/>
      <w:numFmt w:val="decimal"/>
      <w:lvlText w:val="%1"/>
      <w:lvlJc w:val="left"/>
      <w:pPr>
        <w:ind w:left="1280" w:hanging="570"/>
      </w:pPr>
      <w:rPr>
        <w:rFonts w:hint="default"/>
      </w:rPr>
    </w:lvl>
    <w:lvl w:ilvl="1">
      <w:start w:val="5"/>
      <w:numFmt w:val="decimal"/>
      <w:isLgl/>
      <w:lvlText w:val="%1.%2"/>
      <w:lvlJc w:val="left"/>
      <w:pPr>
        <w:ind w:left="1560" w:hanging="850"/>
      </w:pPr>
      <w:rPr>
        <w:rFonts w:hint="default"/>
      </w:rPr>
    </w:lvl>
    <w:lvl w:ilvl="2">
      <w:start w:val="1"/>
      <w:numFmt w:val="decimal"/>
      <w:isLgl/>
      <w:lvlText w:val="%1.%2.%3"/>
      <w:lvlJc w:val="left"/>
      <w:pPr>
        <w:ind w:left="1560" w:hanging="850"/>
      </w:pPr>
      <w:rPr>
        <w:rFonts w:hint="default"/>
      </w:rPr>
    </w:lvl>
    <w:lvl w:ilvl="3">
      <w:start w:val="1"/>
      <w:numFmt w:val="decimal"/>
      <w:isLgl/>
      <w:lvlText w:val="%1.%2.%3.%4"/>
      <w:lvlJc w:val="left"/>
      <w:pPr>
        <w:ind w:left="1560" w:hanging="85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14FA66A4"/>
    <w:multiLevelType w:val="hybridMultilevel"/>
    <w:tmpl w:val="F046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910F2"/>
    <w:multiLevelType w:val="hybridMultilevel"/>
    <w:tmpl w:val="7B7A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47D3C"/>
    <w:multiLevelType w:val="multilevel"/>
    <w:tmpl w:val="7CD4534A"/>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D4D5459"/>
    <w:multiLevelType w:val="hybridMultilevel"/>
    <w:tmpl w:val="7E8A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15:restartNumberingAfterBreak="0">
    <w:nsid w:val="728E70FB"/>
    <w:multiLevelType w:val="hybridMultilevel"/>
    <w:tmpl w:val="25D2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2"/>
  </w:num>
  <w:num w:numId="6">
    <w:abstractNumId w:val="3"/>
  </w:num>
  <w:num w:numId="7">
    <w:abstractNumId w:val="7"/>
  </w:num>
  <w:num w:numId="8">
    <w:abstractNumId w:val="4"/>
  </w:num>
  <w:num w:numId="9">
    <w:abstractNumId w:val="10"/>
  </w:num>
  <w:num w:numId="10">
    <w:abstractNumId w:val="0"/>
  </w:num>
  <w:num w:numId="11">
    <w:abstractNumId w:val="9"/>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391"/>
    <w:rsid w:val="00001CF2"/>
    <w:rsid w:val="0000247B"/>
    <w:rsid w:val="0000469B"/>
    <w:rsid w:val="0001117C"/>
    <w:rsid w:val="000226CD"/>
    <w:rsid w:val="00024AF9"/>
    <w:rsid w:val="00035FF3"/>
    <w:rsid w:val="00040D68"/>
    <w:rsid w:val="00043F6D"/>
    <w:rsid w:val="000450F4"/>
    <w:rsid w:val="00050B6C"/>
    <w:rsid w:val="00051021"/>
    <w:rsid w:val="00051ED9"/>
    <w:rsid w:val="00053619"/>
    <w:rsid w:val="00057181"/>
    <w:rsid w:val="000600AC"/>
    <w:rsid w:val="00060155"/>
    <w:rsid w:val="0006473A"/>
    <w:rsid w:val="00064B2D"/>
    <w:rsid w:val="00065F1F"/>
    <w:rsid w:val="00076D33"/>
    <w:rsid w:val="00077A08"/>
    <w:rsid w:val="0008089A"/>
    <w:rsid w:val="00092CDA"/>
    <w:rsid w:val="000979AB"/>
    <w:rsid w:val="000A2287"/>
    <w:rsid w:val="000A27E9"/>
    <w:rsid w:val="000A3D8B"/>
    <w:rsid w:val="000A5DF8"/>
    <w:rsid w:val="000B1A2C"/>
    <w:rsid w:val="000B6AF2"/>
    <w:rsid w:val="000D540D"/>
    <w:rsid w:val="000D6FD4"/>
    <w:rsid w:val="000D7A51"/>
    <w:rsid w:val="000E0AE4"/>
    <w:rsid w:val="000E3DBC"/>
    <w:rsid w:val="000F292C"/>
    <w:rsid w:val="000F7930"/>
    <w:rsid w:val="00102804"/>
    <w:rsid w:val="0010310C"/>
    <w:rsid w:val="00104BBC"/>
    <w:rsid w:val="00113CE3"/>
    <w:rsid w:val="00117522"/>
    <w:rsid w:val="00122ADB"/>
    <w:rsid w:val="001409BE"/>
    <w:rsid w:val="001412EA"/>
    <w:rsid w:val="0014568E"/>
    <w:rsid w:val="001542D8"/>
    <w:rsid w:val="00170416"/>
    <w:rsid w:val="0017134C"/>
    <w:rsid w:val="001770EB"/>
    <w:rsid w:val="00180C41"/>
    <w:rsid w:val="00182C4C"/>
    <w:rsid w:val="00197D8D"/>
    <w:rsid w:val="001A1A75"/>
    <w:rsid w:val="001A7E9A"/>
    <w:rsid w:val="001B11D0"/>
    <w:rsid w:val="001B3F6C"/>
    <w:rsid w:val="001B6D03"/>
    <w:rsid w:val="001C27A3"/>
    <w:rsid w:val="001C5295"/>
    <w:rsid w:val="001C6242"/>
    <w:rsid w:val="001C7B60"/>
    <w:rsid w:val="001E09FA"/>
    <w:rsid w:val="001E15B2"/>
    <w:rsid w:val="001F4AC3"/>
    <w:rsid w:val="001F539D"/>
    <w:rsid w:val="00200669"/>
    <w:rsid w:val="00201A0D"/>
    <w:rsid w:val="00203540"/>
    <w:rsid w:val="00215F04"/>
    <w:rsid w:val="0021612B"/>
    <w:rsid w:val="00216690"/>
    <w:rsid w:val="0021688C"/>
    <w:rsid w:val="0022083A"/>
    <w:rsid w:val="00221733"/>
    <w:rsid w:val="00221D07"/>
    <w:rsid w:val="00222711"/>
    <w:rsid w:val="0022487D"/>
    <w:rsid w:val="00227E4A"/>
    <w:rsid w:val="002375EF"/>
    <w:rsid w:val="0024582E"/>
    <w:rsid w:val="00245C56"/>
    <w:rsid w:val="00247479"/>
    <w:rsid w:val="002517F4"/>
    <w:rsid w:val="00252159"/>
    <w:rsid w:val="002547EF"/>
    <w:rsid w:val="00256BBB"/>
    <w:rsid w:val="00256D65"/>
    <w:rsid w:val="0026110F"/>
    <w:rsid w:val="002625B4"/>
    <w:rsid w:val="00263BCF"/>
    <w:rsid w:val="00265F05"/>
    <w:rsid w:val="00267364"/>
    <w:rsid w:val="00271801"/>
    <w:rsid w:val="00271F00"/>
    <w:rsid w:val="002734CD"/>
    <w:rsid w:val="00273A80"/>
    <w:rsid w:val="002774C9"/>
    <w:rsid w:val="00281703"/>
    <w:rsid w:val="00281945"/>
    <w:rsid w:val="002846F0"/>
    <w:rsid w:val="0029204E"/>
    <w:rsid w:val="0029631C"/>
    <w:rsid w:val="002A0194"/>
    <w:rsid w:val="002A0F98"/>
    <w:rsid w:val="002A10DD"/>
    <w:rsid w:val="002A3314"/>
    <w:rsid w:val="002A5F8B"/>
    <w:rsid w:val="002A7F6C"/>
    <w:rsid w:val="002D41CF"/>
    <w:rsid w:val="002D6809"/>
    <w:rsid w:val="002E015D"/>
    <w:rsid w:val="002F6488"/>
    <w:rsid w:val="002F6B5E"/>
    <w:rsid w:val="00300B28"/>
    <w:rsid w:val="003065F2"/>
    <w:rsid w:val="00306722"/>
    <w:rsid w:val="00307863"/>
    <w:rsid w:val="00311413"/>
    <w:rsid w:val="00320839"/>
    <w:rsid w:val="003213F9"/>
    <w:rsid w:val="003233A6"/>
    <w:rsid w:val="00323DBF"/>
    <w:rsid w:val="00326D85"/>
    <w:rsid w:val="00327074"/>
    <w:rsid w:val="00327090"/>
    <w:rsid w:val="003309A8"/>
    <w:rsid w:val="00331BD4"/>
    <w:rsid w:val="00331D93"/>
    <w:rsid w:val="00332B12"/>
    <w:rsid w:val="00333614"/>
    <w:rsid w:val="00343AE2"/>
    <w:rsid w:val="00351228"/>
    <w:rsid w:val="00351B07"/>
    <w:rsid w:val="00352CF2"/>
    <w:rsid w:val="00355F7C"/>
    <w:rsid w:val="00363AC1"/>
    <w:rsid w:val="00364841"/>
    <w:rsid w:val="00371B29"/>
    <w:rsid w:val="00374082"/>
    <w:rsid w:val="003748D8"/>
    <w:rsid w:val="0037656B"/>
    <w:rsid w:val="003775A1"/>
    <w:rsid w:val="00377DB6"/>
    <w:rsid w:val="00387CFD"/>
    <w:rsid w:val="00391769"/>
    <w:rsid w:val="003953E1"/>
    <w:rsid w:val="003956B3"/>
    <w:rsid w:val="003A6717"/>
    <w:rsid w:val="003A68BE"/>
    <w:rsid w:val="003B1805"/>
    <w:rsid w:val="003B2467"/>
    <w:rsid w:val="003B3C9D"/>
    <w:rsid w:val="003B78E0"/>
    <w:rsid w:val="003C1BAF"/>
    <w:rsid w:val="003C2EA0"/>
    <w:rsid w:val="003C4969"/>
    <w:rsid w:val="003D18FC"/>
    <w:rsid w:val="003D4652"/>
    <w:rsid w:val="003E41D5"/>
    <w:rsid w:val="003E46BA"/>
    <w:rsid w:val="003E7D22"/>
    <w:rsid w:val="003F74C1"/>
    <w:rsid w:val="00401489"/>
    <w:rsid w:val="004022E4"/>
    <w:rsid w:val="00405B1A"/>
    <w:rsid w:val="00410C76"/>
    <w:rsid w:val="00411907"/>
    <w:rsid w:val="00413CA8"/>
    <w:rsid w:val="00417958"/>
    <w:rsid w:val="00417EE3"/>
    <w:rsid w:val="004207EB"/>
    <w:rsid w:val="0042199F"/>
    <w:rsid w:val="0042368D"/>
    <w:rsid w:val="00432728"/>
    <w:rsid w:val="004332A7"/>
    <w:rsid w:val="00433434"/>
    <w:rsid w:val="00433A2F"/>
    <w:rsid w:val="00435A8A"/>
    <w:rsid w:val="00437276"/>
    <w:rsid w:val="00445355"/>
    <w:rsid w:val="00456B54"/>
    <w:rsid w:val="0046288C"/>
    <w:rsid w:val="00464643"/>
    <w:rsid w:val="004708E3"/>
    <w:rsid w:val="00484496"/>
    <w:rsid w:val="00486793"/>
    <w:rsid w:val="004876CC"/>
    <w:rsid w:val="00492A93"/>
    <w:rsid w:val="00493B7C"/>
    <w:rsid w:val="00494D0F"/>
    <w:rsid w:val="004A2037"/>
    <w:rsid w:val="004B21F1"/>
    <w:rsid w:val="004C2A53"/>
    <w:rsid w:val="004C2CE7"/>
    <w:rsid w:val="004C41ED"/>
    <w:rsid w:val="004F1525"/>
    <w:rsid w:val="004F4F98"/>
    <w:rsid w:val="004F69F6"/>
    <w:rsid w:val="004F79AC"/>
    <w:rsid w:val="004F79AF"/>
    <w:rsid w:val="005017CF"/>
    <w:rsid w:val="00502C4B"/>
    <w:rsid w:val="00514618"/>
    <w:rsid w:val="00515ADA"/>
    <w:rsid w:val="005207D8"/>
    <w:rsid w:val="005268C7"/>
    <w:rsid w:val="00530520"/>
    <w:rsid w:val="00530C60"/>
    <w:rsid w:val="00533E57"/>
    <w:rsid w:val="0053464E"/>
    <w:rsid w:val="005359D4"/>
    <w:rsid w:val="0054272D"/>
    <w:rsid w:val="00544D0B"/>
    <w:rsid w:val="00553B4C"/>
    <w:rsid w:val="00562917"/>
    <w:rsid w:val="00567D2E"/>
    <w:rsid w:val="00570FEE"/>
    <w:rsid w:val="0057615C"/>
    <w:rsid w:val="0058203C"/>
    <w:rsid w:val="00582A3C"/>
    <w:rsid w:val="0058513F"/>
    <w:rsid w:val="00586228"/>
    <w:rsid w:val="005879E0"/>
    <w:rsid w:val="005A1D97"/>
    <w:rsid w:val="005A58F3"/>
    <w:rsid w:val="005A7B27"/>
    <w:rsid w:val="005B6472"/>
    <w:rsid w:val="005B6AF4"/>
    <w:rsid w:val="005B7A73"/>
    <w:rsid w:val="005C04CB"/>
    <w:rsid w:val="005C39BE"/>
    <w:rsid w:val="005C6008"/>
    <w:rsid w:val="005C7CCD"/>
    <w:rsid w:val="005D16AD"/>
    <w:rsid w:val="005D72E1"/>
    <w:rsid w:val="005E6E16"/>
    <w:rsid w:val="005F0E9C"/>
    <w:rsid w:val="005F2819"/>
    <w:rsid w:val="005F30C4"/>
    <w:rsid w:val="005F326D"/>
    <w:rsid w:val="005F400E"/>
    <w:rsid w:val="005F4438"/>
    <w:rsid w:val="005F4FEF"/>
    <w:rsid w:val="005F7342"/>
    <w:rsid w:val="00601BF6"/>
    <w:rsid w:val="00603A08"/>
    <w:rsid w:val="00610A3C"/>
    <w:rsid w:val="00621323"/>
    <w:rsid w:val="00621E9C"/>
    <w:rsid w:val="00627F48"/>
    <w:rsid w:val="00630C23"/>
    <w:rsid w:val="006410FB"/>
    <w:rsid w:val="006460AB"/>
    <w:rsid w:val="006478F8"/>
    <w:rsid w:val="006566C1"/>
    <w:rsid w:val="00663FCF"/>
    <w:rsid w:val="006652A2"/>
    <w:rsid w:val="0066691D"/>
    <w:rsid w:val="006753AE"/>
    <w:rsid w:val="00690206"/>
    <w:rsid w:val="006937FF"/>
    <w:rsid w:val="0069471E"/>
    <w:rsid w:val="006A24DE"/>
    <w:rsid w:val="006A48A7"/>
    <w:rsid w:val="006A77C3"/>
    <w:rsid w:val="006B0880"/>
    <w:rsid w:val="006B2A3A"/>
    <w:rsid w:val="006B349F"/>
    <w:rsid w:val="006B4BA1"/>
    <w:rsid w:val="006B5087"/>
    <w:rsid w:val="006B5EBE"/>
    <w:rsid w:val="006B7104"/>
    <w:rsid w:val="006C0B69"/>
    <w:rsid w:val="006C2AF0"/>
    <w:rsid w:val="006C5CF5"/>
    <w:rsid w:val="006C686D"/>
    <w:rsid w:val="006D0D38"/>
    <w:rsid w:val="006D0EBA"/>
    <w:rsid w:val="006D1BE0"/>
    <w:rsid w:val="006D1C19"/>
    <w:rsid w:val="006D5F9F"/>
    <w:rsid w:val="006F1074"/>
    <w:rsid w:val="006F2C72"/>
    <w:rsid w:val="006F4A82"/>
    <w:rsid w:val="007014E7"/>
    <w:rsid w:val="0070373B"/>
    <w:rsid w:val="00704E1A"/>
    <w:rsid w:val="00707BCB"/>
    <w:rsid w:val="007115B5"/>
    <w:rsid w:val="0071320F"/>
    <w:rsid w:val="00721624"/>
    <w:rsid w:val="00724FA4"/>
    <w:rsid w:val="00730800"/>
    <w:rsid w:val="007326BD"/>
    <w:rsid w:val="007354FB"/>
    <w:rsid w:val="00752325"/>
    <w:rsid w:val="00756DF4"/>
    <w:rsid w:val="007575D1"/>
    <w:rsid w:val="007602AA"/>
    <w:rsid w:val="00762477"/>
    <w:rsid w:val="007644D4"/>
    <w:rsid w:val="007652EF"/>
    <w:rsid w:val="00772BDC"/>
    <w:rsid w:val="00780792"/>
    <w:rsid w:val="00796562"/>
    <w:rsid w:val="007A44B4"/>
    <w:rsid w:val="007A4E3D"/>
    <w:rsid w:val="007A6E8C"/>
    <w:rsid w:val="007A7924"/>
    <w:rsid w:val="007A7D3D"/>
    <w:rsid w:val="007B225D"/>
    <w:rsid w:val="007B5212"/>
    <w:rsid w:val="007B7192"/>
    <w:rsid w:val="007C174F"/>
    <w:rsid w:val="007C1C64"/>
    <w:rsid w:val="007D03EA"/>
    <w:rsid w:val="007D4E7E"/>
    <w:rsid w:val="007E48BC"/>
    <w:rsid w:val="007E6522"/>
    <w:rsid w:val="007E79F7"/>
    <w:rsid w:val="007F3630"/>
    <w:rsid w:val="00807559"/>
    <w:rsid w:val="00812B3E"/>
    <w:rsid w:val="00813A73"/>
    <w:rsid w:val="00814ACB"/>
    <w:rsid w:val="00827CC8"/>
    <w:rsid w:val="0083406C"/>
    <w:rsid w:val="00834C0C"/>
    <w:rsid w:val="00835CC3"/>
    <w:rsid w:val="008365B6"/>
    <w:rsid w:val="00836D1C"/>
    <w:rsid w:val="008450BC"/>
    <w:rsid w:val="0085334B"/>
    <w:rsid w:val="00856050"/>
    <w:rsid w:val="008625E2"/>
    <w:rsid w:val="00870214"/>
    <w:rsid w:val="008730EE"/>
    <w:rsid w:val="008743B9"/>
    <w:rsid w:val="00874B2E"/>
    <w:rsid w:val="00885C51"/>
    <w:rsid w:val="00885EB0"/>
    <w:rsid w:val="0089119F"/>
    <w:rsid w:val="008918A3"/>
    <w:rsid w:val="00891F4B"/>
    <w:rsid w:val="0089264A"/>
    <w:rsid w:val="008954DA"/>
    <w:rsid w:val="00896B85"/>
    <w:rsid w:val="008A0087"/>
    <w:rsid w:val="008A1DB5"/>
    <w:rsid w:val="008A22BE"/>
    <w:rsid w:val="008A4AB4"/>
    <w:rsid w:val="008B1C49"/>
    <w:rsid w:val="008B4733"/>
    <w:rsid w:val="008B5733"/>
    <w:rsid w:val="008C1B36"/>
    <w:rsid w:val="008D06C6"/>
    <w:rsid w:val="008D3B93"/>
    <w:rsid w:val="008E366C"/>
    <w:rsid w:val="008E6250"/>
    <w:rsid w:val="008F475B"/>
    <w:rsid w:val="00902AF6"/>
    <w:rsid w:val="0090324D"/>
    <w:rsid w:val="00907059"/>
    <w:rsid w:val="009114C1"/>
    <w:rsid w:val="009157EC"/>
    <w:rsid w:val="00915EBB"/>
    <w:rsid w:val="00917918"/>
    <w:rsid w:val="00920249"/>
    <w:rsid w:val="00922704"/>
    <w:rsid w:val="0092358E"/>
    <w:rsid w:val="0092434B"/>
    <w:rsid w:val="00924C80"/>
    <w:rsid w:val="00926A08"/>
    <w:rsid w:val="00932F14"/>
    <w:rsid w:val="0094247F"/>
    <w:rsid w:val="00942D60"/>
    <w:rsid w:val="00947813"/>
    <w:rsid w:val="00961B2C"/>
    <w:rsid w:val="009637E0"/>
    <w:rsid w:val="00964AB0"/>
    <w:rsid w:val="0096523B"/>
    <w:rsid w:val="00966EE3"/>
    <w:rsid w:val="00970E47"/>
    <w:rsid w:val="0097134D"/>
    <w:rsid w:val="00972D06"/>
    <w:rsid w:val="00985594"/>
    <w:rsid w:val="009947F2"/>
    <w:rsid w:val="009A391C"/>
    <w:rsid w:val="009A50F2"/>
    <w:rsid w:val="009A6606"/>
    <w:rsid w:val="009B1C44"/>
    <w:rsid w:val="009B3DBC"/>
    <w:rsid w:val="009B5607"/>
    <w:rsid w:val="009D30A1"/>
    <w:rsid w:val="009D692A"/>
    <w:rsid w:val="009E023A"/>
    <w:rsid w:val="009E04AC"/>
    <w:rsid w:val="009E0A61"/>
    <w:rsid w:val="009E1FF4"/>
    <w:rsid w:val="009E3010"/>
    <w:rsid w:val="009E651B"/>
    <w:rsid w:val="009F007E"/>
    <w:rsid w:val="009F55FA"/>
    <w:rsid w:val="009F6246"/>
    <w:rsid w:val="009F7065"/>
    <w:rsid w:val="00A02666"/>
    <w:rsid w:val="00A172CA"/>
    <w:rsid w:val="00A240A7"/>
    <w:rsid w:val="00A2473C"/>
    <w:rsid w:val="00A27570"/>
    <w:rsid w:val="00A40915"/>
    <w:rsid w:val="00A4175D"/>
    <w:rsid w:val="00A55F68"/>
    <w:rsid w:val="00A5677A"/>
    <w:rsid w:val="00A56DC7"/>
    <w:rsid w:val="00A64BFE"/>
    <w:rsid w:val="00A74FD1"/>
    <w:rsid w:val="00A77BFA"/>
    <w:rsid w:val="00A8270E"/>
    <w:rsid w:val="00A84A58"/>
    <w:rsid w:val="00A85B0B"/>
    <w:rsid w:val="00A87B3E"/>
    <w:rsid w:val="00A91461"/>
    <w:rsid w:val="00AA43EA"/>
    <w:rsid w:val="00AB59B4"/>
    <w:rsid w:val="00AC1834"/>
    <w:rsid w:val="00AD304C"/>
    <w:rsid w:val="00AD781D"/>
    <w:rsid w:val="00AE29EF"/>
    <w:rsid w:val="00AE4F9F"/>
    <w:rsid w:val="00AE69C4"/>
    <w:rsid w:val="00AF06FC"/>
    <w:rsid w:val="00AF3391"/>
    <w:rsid w:val="00AF387F"/>
    <w:rsid w:val="00AF6464"/>
    <w:rsid w:val="00B00653"/>
    <w:rsid w:val="00B00E7F"/>
    <w:rsid w:val="00B00F14"/>
    <w:rsid w:val="00B12F1E"/>
    <w:rsid w:val="00B173DA"/>
    <w:rsid w:val="00B21DCC"/>
    <w:rsid w:val="00B22730"/>
    <w:rsid w:val="00B25F37"/>
    <w:rsid w:val="00B37BF0"/>
    <w:rsid w:val="00B44422"/>
    <w:rsid w:val="00B46933"/>
    <w:rsid w:val="00B46EA0"/>
    <w:rsid w:val="00B46F4D"/>
    <w:rsid w:val="00B572BE"/>
    <w:rsid w:val="00B6219F"/>
    <w:rsid w:val="00B7274A"/>
    <w:rsid w:val="00B72FF1"/>
    <w:rsid w:val="00B731D3"/>
    <w:rsid w:val="00B8021A"/>
    <w:rsid w:val="00B8347A"/>
    <w:rsid w:val="00B839A3"/>
    <w:rsid w:val="00B84F6E"/>
    <w:rsid w:val="00B902BD"/>
    <w:rsid w:val="00BA24E2"/>
    <w:rsid w:val="00BA41F6"/>
    <w:rsid w:val="00BA6939"/>
    <w:rsid w:val="00BB133D"/>
    <w:rsid w:val="00BB61D2"/>
    <w:rsid w:val="00BC4673"/>
    <w:rsid w:val="00BD2A39"/>
    <w:rsid w:val="00BD2E80"/>
    <w:rsid w:val="00BD784B"/>
    <w:rsid w:val="00BE0AE8"/>
    <w:rsid w:val="00BE11B8"/>
    <w:rsid w:val="00BF6127"/>
    <w:rsid w:val="00BF7FF0"/>
    <w:rsid w:val="00C01245"/>
    <w:rsid w:val="00C01C21"/>
    <w:rsid w:val="00C02AC3"/>
    <w:rsid w:val="00C057F4"/>
    <w:rsid w:val="00C06EB5"/>
    <w:rsid w:val="00C071A9"/>
    <w:rsid w:val="00C12502"/>
    <w:rsid w:val="00C14D2A"/>
    <w:rsid w:val="00C14F0B"/>
    <w:rsid w:val="00C21321"/>
    <w:rsid w:val="00C24BE8"/>
    <w:rsid w:val="00C31474"/>
    <w:rsid w:val="00C3578E"/>
    <w:rsid w:val="00C36578"/>
    <w:rsid w:val="00C40AA5"/>
    <w:rsid w:val="00C46F70"/>
    <w:rsid w:val="00C476D0"/>
    <w:rsid w:val="00C52810"/>
    <w:rsid w:val="00C61AC1"/>
    <w:rsid w:val="00C62FE3"/>
    <w:rsid w:val="00C72822"/>
    <w:rsid w:val="00C836E3"/>
    <w:rsid w:val="00C86577"/>
    <w:rsid w:val="00C92E07"/>
    <w:rsid w:val="00C96868"/>
    <w:rsid w:val="00CA0416"/>
    <w:rsid w:val="00CA09DF"/>
    <w:rsid w:val="00CA17FD"/>
    <w:rsid w:val="00CA3BD9"/>
    <w:rsid w:val="00CA641D"/>
    <w:rsid w:val="00CC526F"/>
    <w:rsid w:val="00CC560B"/>
    <w:rsid w:val="00CC75E2"/>
    <w:rsid w:val="00CC780A"/>
    <w:rsid w:val="00CD46EB"/>
    <w:rsid w:val="00CD7EBF"/>
    <w:rsid w:val="00CF556C"/>
    <w:rsid w:val="00D016FC"/>
    <w:rsid w:val="00D028CA"/>
    <w:rsid w:val="00D02D03"/>
    <w:rsid w:val="00D0483F"/>
    <w:rsid w:val="00D056F1"/>
    <w:rsid w:val="00D05A45"/>
    <w:rsid w:val="00D102A3"/>
    <w:rsid w:val="00D1060E"/>
    <w:rsid w:val="00D11171"/>
    <w:rsid w:val="00D147D9"/>
    <w:rsid w:val="00D15F28"/>
    <w:rsid w:val="00D22F3C"/>
    <w:rsid w:val="00D23DB6"/>
    <w:rsid w:val="00D24ECB"/>
    <w:rsid w:val="00D333DA"/>
    <w:rsid w:val="00D42EC2"/>
    <w:rsid w:val="00D43FE6"/>
    <w:rsid w:val="00D45F3C"/>
    <w:rsid w:val="00D51A95"/>
    <w:rsid w:val="00D5518D"/>
    <w:rsid w:val="00D60568"/>
    <w:rsid w:val="00D70C7A"/>
    <w:rsid w:val="00D71588"/>
    <w:rsid w:val="00D74B7C"/>
    <w:rsid w:val="00D81D38"/>
    <w:rsid w:val="00D82EBC"/>
    <w:rsid w:val="00D863B0"/>
    <w:rsid w:val="00D905F2"/>
    <w:rsid w:val="00D929FB"/>
    <w:rsid w:val="00D92DCA"/>
    <w:rsid w:val="00D94E4E"/>
    <w:rsid w:val="00D95669"/>
    <w:rsid w:val="00D9620E"/>
    <w:rsid w:val="00DA10A8"/>
    <w:rsid w:val="00DB1E08"/>
    <w:rsid w:val="00DB1F0C"/>
    <w:rsid w:val="00DB2973"/>
    <w:rsid w:val="00DB7A89"/>
    <w:rsid w:val="00DC1B56"/>
    <w:rsid w:val="00DC2129"/>
    <w:rsid w:val="00DC6570"/>
    <w:rsid w:val="00DD3C5E"/>
    <w:rsid w:val="00DF25C3"/>
    <w:rsid w:val="00DF2644"/>
    <w:rsid w:val="00DF5BDC"/>
    <w:rsid w:val="00E03443"/>
    <w:rsid w:val="00E04062"/>
    <w:rsid w:val="00E06311"/>
    <w:rsid w:val="00E063C6"/>
    <w:rsid w:val="00E066BA"/>
    <w:rsid w:val="00E10556"/>
    <w:rsid w:val="00E164D3"/>
    <w:rsid w:val="00E2003B"/>
    <w:rsid w:val="00E203C2"/>
    <w:rsid w:val="00E26D41"/>
    <w:rsid w:val="00E279D8"/>
    <w:rsid w:val="00E30F17"/>
    <w:rsid w:val="00E319B1"/>
    <w:rsid w:val="00E32ACE"/>
    <w:rsid w:val="00E41884"/>
    <w:rsid w:val="00E44E0D"/>
    <w:rsid w:val="00E5492F"/>
    <w:rsid w:val="00E62DEF"/>
    <w:rsid w:val="00E70A86"/>
    <w:rsid w:val="00E777EC"/>
    <w:rsid w:val="00E80FCD"/>
    <w:rsid w:val="00E81423"/>
    <w:rsid w:val="00E836D8"/>
    <w:rsid w:val="00E9156F"/>
    <w:rsid w:val="00E930B0"/>
    <w:rsid w:val="00EA369B"/>
    <w:rsid w:val="00EA4117"/>
    <w:rsid w:val="00EA6F32"/>
    <w:rsid w:val="00EA6FF8"/>
    <w:rsid w:val="00EA7F2F"/>
    <w:rsid w:val="00EB2412"/>
    <w:rsid w:val="00EC00DE"/>
    <w:rsid w:val="00EC30E1"/>
    <w:rsid w:val="00ED0A65"/>
    <w:rsid w:val="00ED172A"/>
    <w:rsid w:val="00ED3F86"/>
    <w:rsid w:val="00EE79AB"/>
    <w:rsid w:val="00EF1E90"/>
    <w:rsid w:val="00F06E43"/>
    <w:rsid w:val="00F1016E"/>
    <w:rsid w:val="00F104AC"/>
    <w:rsid w:val="00F11F6C"/>
    <w:rsid w:val="00F12445"/>
    <w:rsid w:val="00F13819"/>
    <w:rsid w:val="00F14BEC"/>
    <w:rsid w:val="00F17C8F"/>
    <w:rsid w:val="00F2161D"/>
    <w:rsid w:val="00F225C5"/>
    <w:rsid w:val="00F2587A"/>
    <w:rsid w:val="00F333D5"/>
    <w:rsid w:val="00F340E5"/>
    <w:rsid w:val="00F3529A"/>
    <w:rsid w:val="00F3715D"/>
    <w:rsid w:val="00F402B7"/>
    <w:rsid w:val="00F420C8"/>
    <w:rsid w:val="00F42A4C"/>
    <w:rsid w:val="00F56F4F"/>
    <w:rsid w:val="00F57F08"/>
    <w:rsid w:val="00F604DE"/>
    <w:rsid w:val="00F65FAF"/>
    <w:rsid w:val="00F8194A"/>
    <w:rsid w:val="00F8519A"/>
    <w:rsid w:val="00F87D15"/>
    <w:rsid w:val="00FA01B2"/>
    <w:rsid w:val="00FA255E"/>
    <w:rsid w:val="00FA42B9"/>
    <w:rsid w:val="00FB7512"/>
    <w:rsid w:val="00FC5B44"/>
    <w:rsid w:val="00FD1DA3"/>
    <w:rsid w:val="00FD3764"/>
    <w:rsid w:val="00FD54A7"/>
    <w:rsid w:val="00FD7547"/>
    <w:rsid w:val="00FF013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52E9F72"/>
  <w15:docId w15:val="{66B8BAB1-2C3A-442F-8539-01A98056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9E1FF4"/>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874B2E"/>
    <w:pPr>
      <w:keepNext/>
      <w:spacing w:before="120" w:after="12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812B3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9E1FF4"/>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874B2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12B3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rsid w:val="0046288C"/>
    <w:pPr>
      <w:ind w:left="720"/>
      <w:contextualSpacing/>
    </w:pPr>
  </w:style>
  <w:style w:type="paragraph" w:customStyle="1" w:styleId="FSTableColumnRowheading">
    <w:name w:val="FSTable Column/Row heading"/>
    <w:basedOn w:val="Normal"/>
    <w:uiPriority w:val="8"/>
    <w:qFormat/>
    <w:locked/>
    <w:rsid w:val="002625B4"/>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2625B4"/>
    <w:pPr>
      <w:widowControl/>
      <w:spacing w:before="120" w:after="120"/>
      <w:ind w:left="1134" w:hanging="1134"/>
    </w:pPr>
    <w:rPr>
      <w:rFonts w:eastAsiaTheme="minorHAnsi" w:cstheme="minorBidi"/>
      <w:b/>
      <w:i/>
      <w:szCs w:val="22"/>
      <w:lang w:bidi="ar-SA"/>
    </w:rPr>
  </w:style>
  <w:style w:type="paragraph" w:styleId="CommentSubject">
    <w:name w:val="annotation subject"/>
    <w:basedOn w:val="CommentText"/>
    <w:next w:val="CommentText"/>
    <w:link w:val="CommentSubjectChar"/>
    <w:semiHidden/>
    <w:unhideWhenUsed/>
    <w:rsid w:val="00E930B0"/>
    <w:rPr>
      <w:b/>
      <w:bCs/>
    </w:rPr>
  </w:style>
  <w:style w:type="character" w:customStyle="1" w:styleId="CommentSubjectChar">
    <w:name w:val="Comment Subject Char"/>
    <w:basedOn w:val="CommentTextChar"/>
    <w:link w:val="CommentSubject"/>
    <w:semiHidden/>
    <w:rsid w:val="00E930B0"/>
    <w:rPr>
      <w:rFonts w:ascii="Arial" w:hAnsi="Arial"/>
      <w:b/>
      <w:bCs/>
      <w:lang w:eastAsia="en-US" w:bidi="en-US"/>
    </w:rPr>
  </w:style>
  <w:style w:type="character" w:customStyle="1" w:styleId="FooterChar">
    <w:name w:val="Footer Char"/>
    <w:aliases w:val="FSFooter Char"/>
    <w:basedOn w:val="DefaultParagraphFont"/>
    <w:link w:val="Footer"/>
    <w:uiPriority w:val="99"/>
    <w:rsid w:val="00060155"/>
    <w:rPr>
      <w:rFonts w:ascii="Arial" w:hAnsi="Arial"/>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060155"/>
    <w:rPr>
      <w:rFonts w:ascii="Arial" w:hAnsi="Arial"/>
      <w:lang w:eastAsia="en-US" w:bidi="en-US"/>
    </w:rPr>
  </w:style>
  <w:style w:type="paragraph" w:styleId="Caption">
    <w:name w:val="caption"/>
    <w:basedOn w:val="Normal"/>
    <w:next w:val="Normal"/>
    <w:uiPriority w:val="35"/>
    <w:unhideWhenUsed/>
    <w:qFormat/>
    <w:rsid w:val="00060155"/>
    <w:pPr>
      <w:widowControl/>
      <w:spacing w:after="200"/>
    </w:pPr>
    <w:rPr>
      <w:rFonts w:eastAsiaTheme="minorHAnsi" w:cstheme="minorBidi"/>
      <w:i/>
      <w:iCs/>
      <w:color w:val="1F497D" w:themeColor="text2"/>
      <w:sz w:val="18"/>
      <w:szCs w:val="18"/>
      <w:lang w:bidi="ar-SA"/>
    </w:rPr>
  </w:style>
  <w:style w:type="paragraph" w:customStyle="1" w:styleId="FSBullet">
    <w:name w:val="FS Bullet"/>
    <w:basedOn w:val="Normal"/>
    <w:next w:val="Normal"/>
    <w:link w:val="FSBulletChar"/>
    <w:qFormat/>
    <w:rsid w:val="00060155"/>
    <w:pPr>
      <w:ind w:left="567" w:hanging="567"/>
    </w:pPr>
    <w:rPr>
      <w:rFonts w:cs="Arial"/>
    </w:rPr>
  </w:style>
  <w:style w:type="character" w:customStyle="1" w:styleId="FSBulletChar">
    <w:name w:val="FS Bullet Char"/>
    <w:basedOn w:val="DefaultParagraphFont"/>
    <w:link w:val="FSBullet"/>
    <w:rsid w:val="00060155"/>
    <w:rPr>
      <w:rFonts w:ascii="Arial" w:hAnsi="Arial" w:cs="Arial"/>
      <w:sz w:val="22"/>
      <w:szCs w:val="24"/>
      <w:lang w:eastAsia="en-US" w:bidi="en-US"/>
    </w:rPr>
  </w:style>
  <w:style w:type="paragraph" w:customStyle="1" w:styleId="CitaviBibliographyEntry">
    <w:name w:val="Citavi Bibliography Entry"/>
    <w:basedOn w:val="Normal"/>
    <w:link w:val="CitaviBibliographyEntryChar"/>
    <w:rsid w:val="00BF6127"/>
    <w:pPr>
      <w:spacing w:after="120"/>
    </w:pPr>
  </w:style>
  <w:style w:type="character" w:customStyle="1" w:styleId="CitaviBibliographyEntryChar">
    <w:name w:val="Citavi Bibliography Entry Char"/>
    <w:basedOn w:val="DefaultParagraphFont"/>
    <w:link w:val="CitaviBibliographyEntry"/>
    <w:rsid w:val="00BF6127"/>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BF6127"/>
  </w:style>
  <w:style w:type="character" w:customStyle="1" w:styleId="CitaviBibliographyHeadingChar">
    <w:name w:val="Citavi Bibliography Heading Char"/>
    <w:basedOn w:val="DefaultParagraphFont"/>
    <w:link w:val="CitaviBibliographyHeading"/>
    <w:rsid w:val="00BF6127"/>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BF6127"/>
    <w:pPr>
      <w:outlineLvl w:val="9"/>
    </w:pPr>
  </w:style>
  <w:style w:type="character" w:customStyle="1" w:styleId="CitaviBibliographySubheading1Char">
    <w:name w:val="Citavi Bibliography Subheading 1 Char"/>
    <w:basedOn w:val="DefaultParagraphFont"/>
    <w:link w:val="CitaviBibliographySubheading1"/>
    <w:rsid w:val="00BF6127"/>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BF6127"/>
    <w:pPr>
      <w:outlineLvl w:val="9"/>
    </w:pPr>
  </w:style>
  <w:style w:type="character" w:customStyle="1" w:styleId="CitaviBibliographySubheading2Char">
    <w:name w:val="Citavi Bibliography Subheading 2 Char"/>
    <w:basedOn w:val="DefaultParagraphFont"/>
    <w:link w:val="CitaviBibliographySubheading2"/>
    <w:rsid w:val="00BF6127"/>
    <w:rPr>
      <w:rFonts w:ascii="Arial" w:hAnsi="Arial"/>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BF6127"/>
    <w:pPr>
      <w:outlineLvl w:val="9"/>
    </w:pPr>
  </w:style>
  <w:style w:type="character" w:customStyle="1" w:styleId="CitaviBibliographySubheading3Char">
    <w:name w:val="Citavi Bibliography Subheading 3 Char"/>
    <w:basedOn w:val="DefaultParagraphFont"/>
    <w:link w:val="CitaviBibliographySubheading3"/>
    <w:rsid w:val="00BF6127"/>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BF6127"/>
    <w:pPr>
      <w:outlineLvl w:val="9"/>
    </w:pPr>
  </w:style>
  <w:style w:type="character" w:customStyle="1" w:styleId="CitaviBibliographySubheading4Char">
    <w:name w:val="Citavi Bibliography Subheading 4 Char"/>
    <w:basedOn w:val="DefaultParagraphFont"/>
    <w:link w:val="CitaviBibliographySubheading4"/>
    <w:rsid w:val="00BF6127"/>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BF6127"/>
    <w:pPr>
      <w:outlineLvl w:val="9"/>
    </w:pPr>
  </w:style>
  <w:style w:type="character" w:customStyle="1" w:styleId="CitaviBibliographySubheading5Char">
    <w:name w:val="Citavi Bibliography Subheading 5 Char"/>
    <w:basedOn w:val="DefaultParagraphFont"/>
    <w:link w:val="CitaviBibliographySubheading5"/>
    <w:rsid w:val="00BF6127"/>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BF6127"/>
    <w:pPr>
      <w:outlineLvl w:val="9"/>
    </w:pPr>
  </w:style>
  <w:style w:type="character" w:customStyle="1" w:styleId="CitaviBibliographySubheading6Char">
    <w:name w:val="Citavi Bibliography Subheading 6 Char"/>
    <w:basedOn w:val="DefaultParagraphFont"/>
    <w:link w:val="CitaviBibliographySubheading6"/>
    <w:rsid w:val="00BF6127"/>
    <w:rPr>
      <w:rFonts w:ascii="Arial" w:hAnsi="Arial"/>
      <w:sz w:val="22"/>
      <w:szCs w:val="24"/>
      <w:lang w:eastAsia="en-US" w:bidi="en-US"/>
    </w:rPr>
  </w:style>
  <w:style w:type="paragraph" w:customStyle="1" w:styleId="CitaviBibliographySubheading7">
    <w:name w:val="Citavi Bibliography Subheading 7"/>
    <w:basedOn w:val="Heading8"/>
    <w:link w:val="CitaviBibliographySubheading7Char"/>
    <w:rsid w:val="00BF6127"/>
    <w:pPr>
      <w:outlineLvl w:val="9"/>
    </w:pPr>
  </w:style>
  <w:style w:type="character" w:customStyle="1" w:styleId="CitaviBibliographySubheading7Char">
    <w:name w:val="Citavi Bibliography Subheading 7 Char"/>
    <w:basedOn w:val="DefaultParagraphFont"/>
    <w:link w:val="CitaviBibliographySubheading7"/>
    <w:rsid w:val="00BF6127"/>
    <w:rPr>
      <w:rFonts w:ascii="Arial" w:hAnsi="Arial"/>
      <w:i/>
      <w:iCs/>
      <w:sz w:val="22"/>
      <w:szCs w:val="24"/>
      <w:lang w:eastAsia="en-US" w:bidi="en-US"/>
    </w:rPr>
  </w:style>
  <w:style w:type="paragraph" w:customStyle="1" w:styleId="CitaviBibliographySubheading8">
    <w:name w:val="Citavi Bibliography Subheading 8"/>
    <w:basedOn w:val="Heading9"/>
    <w:link w:val="CitaviBibliographySubheading8Char"/>
    <w:rsid w:val="00BF6127"/>
    <w:pPr>
      <w:outlineLvl w:val="9"/>
    </w:pPr>
  </w:style>
  <w:style w:type="character" w:customStyle="1" w:styleId="CitaviBibliographySubheading8Char">
    <w:name w:val="Citavi Bibliography Subheading 8 Char"/>
    <w:basedOn w:val="DefaultParagraphFont"/>
    <w:link w:val="CitaviBibliographySubheading8"/>
    <w:rsid w:val="00BF6127"/>
    <w:rPr>
      <w:rFonts w:ascii="Cambria" w:hAnsi="Cambria"/>
      <w:sz w:val="22"/>
      <w:szCs w:val="22"/>
      <w:lang w:eastAsia="en-US" w:bidi="en-US"/>
    </w:rPr>
  </w:style>
  <w:style w:type="character" w:customStyle="1" w:styleId="a">
    <w:name w:val="_"/>
    <w:basedOn w:val="DefaultParagraphFont"/>
    <w:rsid w:val="00B46933"/>
  </w:style>
  <w:style w:type="paragraph" w:styleId="Revision">
    <w:name w:val="Revision"/>
    <w:hidden/>
    <w:uiPriority w:val="99"/>
    <w:semiHidden/>
    <w:rsid w:val="004C2A53"/>
    <w:rPr>
      <w:rFonts w:ascii="Arial" w:hAnsi="Arial"/>
      <w:sz w:val="22"/>
      <w:szCs w:val="24"/>
      <w:lang w:eastAsia="en-US" w:bidi="en-US"/>
    </w:rPr>
  </w:style>
  <w:style w:type="paragraph" w:styleId="EndnoteText">
    <w:name w:val="endnote text"/>
    <w:basedOn w:val="Normal"/>
    <w:link w:val="EndnoteTextChar"/>
    <w:semiHidden/>
    <w:unhideWhenUsed/>
    <w:rsid w:val="000450F4"/>
    <w:rPr>
      <w:sz w:val="20"/>
      <w:szCs w:val="20"/>
    </w:rPr>
  </w:style>
  <w:style w:type="character" w:customStyle="1" w:styleId="EndnoteTextChar">
    <w:name w:val="Endnote Text Char"/>
    <w:basedOn w:val="DefaultParagraphFont"/>
    <w:link w:val="EndnoteText"/>
    <w:semiHidden/>
    <w:rsid w:val="000450F4"/>
    <w:rPr>
      <w:rFonts w:ascii="Arial" w:hAnsi="Arial"/>
      <w:lang w:eastAsia="en-US" w:bidi="en-US"/>
    </w:rPr>
  </w:style>
  <w:style w:type="character" w:styleId="EndnoteReference">
    <w:name w:val="endnote reference"/>
    <w:basedOn w:val="DefaultParagraphFont"/>
    <w:semiHidden/>
    <w:unhideWhenUsed/>
    <w:rsid w:val="00045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doi.org/10.1111/j.1745-4514.2011.00611.x" TargetMode="External"/><Relationship Id="rId39" Type="http://schemas.openxmlformats.org/officeDocument/2006/relationships/hyperlink" Target="https://apps.who.int/iris/bitstream/handle/10665/41072/WHO_TRS_539.pdf?sequence=1&amp;isAllowed=7" TargetMode="External"/><Relationship Id="rId21" Type="http://schemas.openxmlformats.org/officeDocument/2006/relationships/footer" Target="footer3.xml"/><Relationship Id="rId34" Type="http://schemas.openxmlformats.org/officeDocument/2006/relationships/hyperlink" Target="https://efsa.onlinelibrary.wiley.com/doi/pdf/10.2903/j.efsa.2017.5045" TargetMode="External"/><Relationship Id="rId42" Type="http://schemas.openxmlformats.org/officeDocument/2006/relationships/hyperlink" Target="https://doi.org/10.1016/j.fct.2004.10.001" TargetMode="External"/><Relationship Id="rId47" Type="http://schemas.openxmlformats.org/officeDocument/2006/relationships/hyperlink" Target="https://doi.org/10.1016/j.fct.2008.06.008" TargetMode="External"/><Relationship Id="rId50" Type="http://schemas.openxmlformats.org/officeDocument/2006/relationships/hyperlink" Target="https://dx.doi.org/10.1017%2Fjns.2012.18"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doi.org/10.1016/j.fct.2005.06.005" TargetMode="External"/><Relationship Id="rId11" Type="http://schemas.openxmlformats.org/officeDocument/2006/relationships/settings" Target="settings.xml"/><Relationship Id="rId24" Type="http://schemas.openxmlformats.org/officeDocument/2006/relationships/hyperlink" Target="https://www.google.com/url?sa=i&amp;url=https%3A%2F%2Ffoodadditives.net%2Femulsifiers%2Fmono-and-diglycerides%2F&amp;psig=AOvVaw35fEx_Lg1dJntKXKp96NTT&amp;ust=1591847715438000&amp;source=images&amp;cd=vfe&amp;ved=0CAIQjRxqFwoTCMCjm7Kt9ukCFQAAAAAdAAAAABAD" TargetMode="External"/><Relationship Id="rId32" Type="http://schemas.openxmlformats.org/officeDocument/2006/relationships/hyperlink" Target="http://www.fao.org/gsfaonline/docs/CXS_192e.pdf" TargetMode="External"/><Relationship Id="rId37" Type="http://schemas.openxmlformats.org/officeDocument/2006/relationships/hyperlink" Target="http://doi.org/10.1016/S1671-2927(11)60101-6" TargetMode="External"/><Relationship Id="rId40" Type="http://schemas.openxmlformats.org/officeDocument/2006/relationships/hyperlink" Target="http://www.inchem.org/documents/jecfa/jecfamono/v05je44.htm" TargetMode="External"/><Relationship Id="rId45" Type="http://schemas.openxmlformats.org/officeDocument/2006/relationships/hyperlink" Target="https://doi.org/10.1016/j.fct.2006.12.024" TargetMode="External"/><Relationship Id="rId53" Type="http://schemas.openxmlformats.org/officeDocument/2006/relationships/hyperlink" Target="http://www.foodstandards.gov.au/science/exposure/documents/Principles%20_%20practices%20exposure%20assessment%202009.pdf" TargetMode="External"/><Relationship Id="rId5" Type="http://schemas.openxmlformats.org/officeDocument/2006/relationships/customXml" Target="../customXml/item5.xm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hyperlink" Target="https://www.leychile.cl/Navegar?idNorma=71271&amp;idVersion=2019-01-14" TargetMode="External"/><Relationship Id="rId44" Type="http://schemas.openxmlformats.org/officeDocument/2006/relationships/hyperlink" Target="http://doi.org/10.1016/j.foodres.2014.07.026" TargetMode="External"/><Relationship Id="rId52" Type="http://schemas.openxmlformats.org/officeDocument/2006/relationships/hyperlink" Target="http://www.foodstandards.gov.au/science/riskanalysis/Pages/default.aspx"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yperlink" Target="https://doi.org/10.1016/j.fct.2005.06.007" TargetMode="External"/><Relationship Id="rId30" Type="http://schemas.openxmlformats.org/officeDocument/2006/relationships/hyperlink" Target="https://www.leychile.cl/Navegar?idNorma=71271&amp;idVersion=2019-01-14" TargetMode="External"/><Relationship Id="rId35" Type="http://schemas.openxmlformats.org/officeDocument/2006/relationships/hyperlink" Target="https://eur-lex.europa.eu/eli/reg/2019/801/oj" TargetMode="External"/><Relationship Id="rId43" Type="http://schemas.openxmlformats.org/officeDocument/2006/relationships/hyperlink" Target="https://doi.org/10.1097/00005176-199708000-00007" TargetMode="External"/><Relationship Id="rId48" Type="http://schemas.openxmlformats.org/officeDocument/2006/relationships/hyperlink" Target="https://doi.org/10.1016/j.fct.2008.04.004"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publications.usp.org/" TargetMode="Externa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image" Target="media/image2.png"/><Relationship Id="rId33" Type="http://schemas.openxmlformats.org/officeDocument/2006/relationships/hyperlink" Target="https://eur-lex.europa.eu/legal-content/EN/TXT/PDF/?uri=CELEX:32012R0231&amp;qid=1422407801408&amp;from=EN" TargetMode="External"/><Relationship Id="rId38" Type="http://schemas.openxmlformats.org/officeDocument/2006/relationships/hyperlink" Target="http://www.nihs.go.jp/dfa/dfa-j/shokuten_kikaku_j.html" TargetMode="External"/><Relationship Id="rId46" Type="http://schemas.openxmlformats.org/officeDocument/2006/relationships/hyperlink" Target="https://doi.org/10.1016/j.fct.2008.04.031" TargetMode="External"/><Relationship Id="rId20" Type="http://schemas.openxmlformats.org/officeDocument/2006/relationships/header" Target="header3.xml"/><Relationship Id="rId41" Type="http://schemas.openxmlformats.org/officeDocument/2006/relationships/hyperlink" Target="http://www.fao.org/food/food-safety-quality/scientific-advice/jecfa/jecfa-additives/en/" TargetMode="External"/><Relationship Id="rId54" Type="http://schemas.openxmlformats.org/officeDocument/2006/relationships/hyperlink" Target="http://www.foodstandards.gov.au/science/exposure/Pages/dietaryexposureandin4438.aspx" TargetMode="Externa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hyperlink" Target="https://doi.org/10.1016/j.fct.2005.06.006" TargetMode="External"/><Relationship Id="rId36" Type="http://schemas.openxmlformats.org/officeDocument/2006/relationships/hyperlink" Target="http://www.foodstandards.gov.au/science/exposure/documents/Principles%20_%20practices%20exposure%20assessment%202009.pdf" TargetMode="External"/><Relationship Id="rId49" Type="http://schemas.openxmlformats.org/officeDocument/2006/relationships/hyperlink" Target="https://doi.org/10.1016/j.fct.2008.09.0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oodstandards.gov.au/code/proposals/Pages/P1031Allergenlabellingexem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
</customXsn>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ct:contentTypeSchema xmlns:ct="http://schemas.microsoft.com/office/2006/metadata/contentType" xmlns:ma="http://schemas.microsoft.com/office/2006/metadata/properties/metaAttributes" ct:_="" ma:_="" ma:contentTypeName="Document" ma:contentTypeID="0x01010058CEFF2854D26B499476F30724007001" ma:contentTypeVersion="2" ma:contentTypeDescription="Create a new document." ma:contentTypeScope="" ma:versionID="822373eb7acd07dcd53a654a02e8516c">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70DA6-13FE-4488-8A56-9EBBB1DF8F81}">
  <ds:schemaRefs>
    <ds:schemaRef ds:uri="Microsoft.SharePoint.Taxonomy.ContentTypeSync"/>
  </ds:schemaRefs>
</ds:datastoreItem>
</file>

<file path=customXml/itemProps2.xml><?xml version="1.0" encoding="utf-8"?>
<ds:datastoreItem xmlns:ds="http://schemas.openxmlformats.org/officeDocument/2006/customXml" ds:itemID="{84F1DA60-90C2-4D02-A67A-5F59114ABD1D}"/>
</file>

<file path=customXml/itemProps3.xml><?xml version="1.0" encoding="utf-8"?>
<ds:datastoreItem xmlns:ds="http://schemas.openxmlformats.org/officeDocument/2006/customXml" ds:itemID="{5F7ACC28-D1EE-4F02-B1AB-3309C3EA1191}">
  <ds:schemaRefs>
    <ds:schemaRef ds:uri="http://schemas.microsoft.com/sharepoint/v3/contenttype/forms"/>
  </ds:schemaRefs>
</ds:datastoreItem>
</file>

<file path=customXml/itemProps4.xml><?xml version="1.0" encoding="utf-8"?>
<ds:datastoreItem xmlns:ds="http://schemas.openxmlformats.org/officeDocument/2006/customXml" ds:itemID="{5F7ACC28-D1EE-4F02-B1AB-3309C3EA1191}"/>
</file>

<file path=customXml/itemProps5.xml><?xml version="1.0" encoding="utf-8"?>
<ds:datastoreItem xmlns:ds="http://schemas.openxmlformats.org/officeDocument/2006/customXml" ds:itemID="{EC9010C4-C70B-4AD8-BA5F-A61B113CDF33}"/>
</file>

<file path=customXml/itemProps6.xml><?xml version="1.0" encoding="utf-8"?>
<ds:datastoreItem xmlns:ds="http://schemas.openxmlformats.org/officeDocument/2006/customXml" ds:itemID="{82607D8C-18B5-4F43-A0CA-AB4D5E27F8C0}">
  <ds:schemaRefs>
    <ds:schemaRef ds:uri="http://schemas.microsoft.com/office/2006/metadata/customXsn"/>
  </ds:schemaRefs>
</ds:datastoreItem>
</file>

<file path=customXml/itemProps7.xml><?xml version="1.0" encoding="utf-8"?>
<ds:datastoreItem xmlns:ds="http://schemas.openxmlformats.org/officeDocument/2006/customXml" ds:itemID="{9BD3217D-376E-45EA-87BE-E5D392512CF2}"/>
</file>

<file path=customXml/itemProps8.xml><?xml version="1.0" encoding="utf-8"?>
<ds:datastoreItem xmlns:ds="http://schemas.openxmlformats.org/officeDocument/2006/customXml" ds:itemID="{EA93E5A3-2C02-4C08-9CE1-56572E828BFD}"/>
</file>

<file path=docProps/app.xml><?xml version="1.0" encoding="utf-8"?>
<Properties xmlns="http://schemas.openxmlformats.org/officeDocument/2006/extended-properties" xmlns:vt="http://schemas.openxmlformats.org/officeDocument/2006/docPropsVTypes">
  <Template>Normal</Template>
  <TotalTime>0</TotalTime>
  <Pages>28</Pages>
  <Words>13874</Words>
  <Characters>79085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92774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2</cp:revision>
  <cp:lastPrinted>2021-02-03T01:30:00Z</cp:lastPrinted>
  <dcterms:created xsi:type="dcterms:W3CDTF">2021-02-04T23:28:00Z</dcterms:created>
  <dcterms:modified xsi:type="dcterms:W3CDTF">2021-02-04T23:28:00Z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0x01010058CEFF2854D26B499476F30724007001</vt:lpwstr>
  </property>
  <property fmtid="{D5CDD505-2E9C-101B-9397-08002B2CF9AE}" pid="5" name="_dlc_DocIdItemGuid">
    <vt:lpwstr>e6e689bf-0b51-4711-a239-7bb196795847</vt:lpwstr>
  </property>
  <property fmtid="{D5CDD505-2E9C-101B-9397-08002B2CF9AE}" pid="6" name="CitaviDocumentProperty_8">
    <vt:lpwstr>R:\A1191\Shared Documents\Working folder\Risk Assessment\A1191 Mono and diglycerides of fatty acids\A1191 Mono and diglycerides of fatty acids.ctv5</vt:lpwstr>
  </property>
  <property fmtid="{D5CDD505-2E9C-101B-9397-08002B2CF9AE}" pid="7" name="CitaviDocumentProperty_7">
    <vt:lpwstr>A1191 Mono and diglycerides of fatty acids</vt:lpwstr>
  </property>
  <property fmtid="{D5CDD505-2E9C-101B-9397-08002B2CF9AE}" pid="8" name="CitaviDocumentProperty_0">
    <vt:lpwstr>9563ff4a-b601-4e5c-b658-cdca4023c4db</vt:lpwstr>
  </property>
  <property fmtid="{D5CDD505-2E9C-101B-9397-08002B2CF9AE}" pid="9" name="CitaviDocumentProperty_1">
    <vt:lpwstr>5.5.0.1</vt:lpwstr>
  </property>
  <property fmtid="{D5CDD505-2E9C-101B-9397-08002B2CF9AE}" pid="10" name="CitaviDocumentProperty_6">
    <vt:lpwstr>False</vt:lpwstr>
  </property>
  <property fmtid="{D5CDD505-2E9C-101B-9397-08002B2CF9AE}" pid="11" name="bd06d2da0152468b9236b575a71e0e7c">
    <vt:lpwstr>FOOD STANDARDS:Evaluation|43bd8487-b9f6-4055-946c-a118d364275d</vt:lpwstr>
  </property>
  <property fmtid="{D5CDD505-2E9C-101B-9397-08002B2CF9AE}" pid="12" name="TaxCatchAll">
    <vt:lpwstr>7;#FOOD STANDARDS:Evaluation|43bd8487-b9f6-4055-946c-a118d364275d</vt:lpwstr>
  </property>
  <property fmtid="{D5CDD505-2E9C-101B-9397-08002B2CF9AE}" pid="13" name="BCS_">
    <vt:lpwstr>315;#Agenda papers|6e530783-c5c6-4772-93f9-dbabdcf97c03</vt:lpwstr>
  </property>
  <property fmtid="{D5CDD505-2E9C-101B-9397-08002B2CF9AE}" pid="14" name="RecordPoint_WorkflowType">
    <vt:lpwstr>ActiveSubmitStub</vt:lpwstr>
  </property>
  <property fmtid="{D5CDD505-2E9C-101B-9397-08002B2CF9AE}" pid="15" name="RecordPoint_ActiveItemWebId">
    <vt:lpwstr>{0a24ff59-26de-499e-af6c-870128dbbd86}</vt:lpwstr>
  </property>
  <property fmtid="{D5CDD505-2E9C-101B-9397-08002B2CF9AE}" pid="16" name="RecordPoint_ActiveItemSiteId">
    <vt:lpwstr>{cec154f9-42c6-4481-9906-45443d426660}</vt:lpwstr>
  </property>
  <property fmtid="{D5CDD505-2E9C-101B-9397-08002B2CF9AE}" pid="17" name="RecordPoint_ActiveItemListId">
    <vt:lpwstr>{3a9826a6-ef3d-4704-849b-07726235ecc0}</vt:lpwstr>
  </property>
  <property fmtid="{D5CDD505-2E9C-101B-9397-08002B2CF9AE}" pid="18" name="RecordPoint_ActiveItemUniqueId">
    <vt:lpwstr>{f9afbc7c-e299-436b-8d03-967d08ce8660}</vt:lpwstr>
  </property>
  <property fmtid="{D5CDD505-2E9C-101B-9397-08002B2CF9AE}" pid="19" name="RecordPoint_RecordNumberSubmitted">
    <vt:lpwstr>R0000139854</vt:lpwstr>
  </property>
  <property fmtid="{D5CDD505-2E9C-101B-9397-08002B2CF9AE}" pid="20" name="RecordPoint_SubmissionCompleted">
    <vt:lpwstr>2021-01-14T14:35:08.8283763+11:00</vt:lpwstr>
  </property>
  <property fmtid="{D5CDD505-2E9C-101B-9397-08002B2CF9AE}" pid="21" name="DisposalClass">
    <vt:lpwstr/>
  </property>
  <property fmtid="{D5CDD505-2E9C-101B-9397-08002B2CF9AE}" pid="22" name="a41428b017d04df981d58ffdf035d7b8">
    <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7" name="bjDocumentLabelXML-0">
    <vt:lpwstr>ames.com/2008/01/sie/internal/label"&gt;&lt;element uid="66ddac19-06c4-4e63-b4dd-d8240d87a23f" value="" /&gt;&lt;/sisl&gt;</vt:lpwstr>
  </property>
  <property fmtid="{D5CDD505-2E9C-101B-9397-08002B2CF9AE}" pid="28" name="bjDocumentSecurityLabel">
    <vt:lpwstr>NO SECURITY CLASSIFICATION REQUIRED</vt:lpwstr>
  </property>
</Properties>
</file>